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0"/>
        <w:jc w:val="both"/>
        <w:rPr>
          <w:rFonts w:hint="eastAsia" w:ascii="宋体" w:hAnsi="宋体" w:eastAsia="宋体" w:cs="宋体"/>
          <w:b/>
          <w:bCs/>
          <w:color w:val="auto"/>
          <w:spacing w:val="80"/>
          <w:sz w:val="72"/>
          <w:szCs w:val="72"/>
          <w:highlight w:val="none"/>
        </w:rPr>
      </w:pPr>
      <w:r/>
      <w:bookmarkStart w:id="256" w:name="_GoBack"/>
      <w:r/>
      <w:bookmarkEnd w:id="256"/>
      <w:r/>
      <w:r/>
    </w:p>
    <w:p>
      <w:pPr>
        <w:pStyle w:val="921"/>
        <w:ind w:firstLine="0"/>
        <w:jc w:val="center"/>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rPr>
        <w:t xml:space="preserve">连云港市政府采购</w:t>
      </w:r>
      <w:r/>
    </w:p>
    <w:p>
      <w:pPr>
        <w:pStyle w:val="921"/>
        <w:ind w:firstLine="0"/>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21"/>
        <w:ind w:firstLine="0"/>
        <w:jc w:val="center"/>
        <w:rPr>
          <w:rFonts w:hint="eastAsia" w:ascii="宋体" w:hAnsi="宋体" w:eastAsia="宋体" w:cs="宋体"/>
          <w:b/>
          <w:bCs/>
          <w:color w:val="auto"/>
          <w:sz w:val="72"/>
          <w:szCs w:val="72"/>
          <w:highlight w:val="none"/>
        </w:rPr>
      </w:pPr>
      <w:r/>
      <w:bookmarkStart w:id="0" w:name="_Toc19999"/>
      <w:r>
        <w:rPr>
          <w:rFonts w:hint="eastAsia" w:ascii="宋体" w:hAnsi="宋体" w:eastAsia="宋体" w:cs="宋体"/>
          <w:b/>
          <w:bCs/>
          <w:color w:val="auto"/>
          <w:sz w:val="72"/>
          <w:szCs w:val="72"/>
          <w:highlight w:val="none"/>
        </w:rPr>
        <w:t xml:space="preserve">竞争性磋商文件</w:t>
      </w:r>
      <w:bookmarkEnd w:id="0"/>
      <w:r/>
      <w:r/>
    </w:p>
    <w:p>
      <w:pPr>
        <w:pStyle w:val="921"/>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68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043"/>
        <w:gridCol w:w="7919"/>
      </w:tblGrid>
      <w:tr>
        <w:trPr>
          <w:jc w:val="center"/>
          <w:trHeight w:val="855"/>
        </w:trPr>
        <w:tc>
          <w:tcPr>
            <w:tcW w:w="1025"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3974" w:type="pct"/>
            <w:vAlign w:val="center"/>
            <w:textDirection w:val="lrTb"/>
            <w:noWrap/>
          </w:tcPr>
          <w:p>
            <w:pPr>
              <w:spacing w:line="360" w:lineRule="auto"/>
              <w:rPr>
                <w:rFonts w:hint="eastAsia" w:ascii="宋体" w:hAnsi="宋体" w:cs="宋体"/>
                <w:b/>
                <w:bCs/>
                <w:color w:val="auto"/>
                <w:sz w:val="32"/>
                <w:highlight w:val="none"/>
                <w:lang w:eastAsia="zh-CN"/>
              </w:rPr>
            </w:pPr>
            <w:r>
              <w:rPr>
                <w:rFonts w:hint="eastAsia" w:ascii="宋体" w:hAnsi="宋体" w:cs="宋体"/>
                <w:b/>
                <w:bCs/>
                <w:color w:val="auto"/>
                <w:sz w:val="32"/>
                <w:highlight w:val="none"/>
                <w:lang w:eastAsia="zh-CN"/>
              </w:rPr>
              <w:t xml:space="preserve">2023年地膜科学使用回收试点项目（专门面向中小企业采购）</w:t>
            </w:r>
            <w:r/>
          </w:p>
        </w:tc>
      </w:tr>
      <w:tr>
        <w:trPr>
          <w:jc w:val="center"/>
          <w:trHeight w:val="855"/>
        </w:trPr>
        <w:tc>
          <w:tcPr>
            <w:tcW w:w="1025"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3974"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JSZC-320707-YGHZ-C2025-0004</w:t>
            </w:r>
            <w:r/>
          </w:p>
        </w:tc>
      </w:tr>
    </w:tbl>
    <w:p>
      <w:pPr>
        <w:pStyle w:val="921"/>
        <w:ind w:firstLine="0"/>
        <w:jc w:val="center"/>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u w:val="single"/>
        </w:rPr>
      </w:r>
      <w:r/>
    </w:p>
    <w:p>
      <w:pPr>
        <w:pStyle w:val="921"/>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689"/>
        <w:tblW w:w="4999"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624"/>
        <w:gridCol w:w="7336"/>
      </w:tblGrid>
      <w:tr>
        <w:trPr>
          <w:trHeight w:val="82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bookmarkStart w:id="1" w:name="OLE_LINK4"/>
            <w:r/>
            <w:bookmarkStart w:id="2" w:name="OLE_LINK31"/>
            <w:r>
              <w:rPr>
                <w:rFonts w:hint="eastAsia" w:ascii="宋体" w:hAnsi="宋体" w:eastAsia="宋体" w:cs="宋体"/>
                <w:b/>
                <w:bCs/>
                <w:color w:val="auto"/>
                <w:sz w:val="32"/>
                <w:highlight w:val="none"/>
              </w:rPr>
              <w:t xml:space="preserve">采   购   人：</w:t>
            </w:r>
            <w:bookmarkEnd w:id="1"/>
            <w:r/>
            <w:bookmarkEnd w:id="2"/>
            <w:r/>
            <w:r/>
          </w:p>
        </w:tc>
        <w:tc>
          <w:tcPr>
            <w:tcW w:w="3682" w:type="pct"/>
            <w:vAlign w:val="center"/>
            <w:textDirection w:val="lrTb"/>
            <w:noWrap/>
          </w:tcPr>
          <w:p>
            <w:pPr>
              <w:pStyle w:val="704"/>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连云港市赣榆区农村能源环境保护办公室</w:t>
            </w:r>
            <w:r/>
          </w:p>
        </w:tc>
      </w:tr>
      <w:tr>
        <w:trPr>
          <w:trHeight w:val="79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682" w:type="pct"/>
            <w:vAlign w:val="center"/>
            <w:textDirection w:val="lrTb"/>
            <w:noWrap/>
          </w:tcPr>
          <w:p>
            <w:pPr>
              <w:pStyle w:val="704"/>
              <w:spacing w:line="36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连云港衡致工程造价咨询有限公司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89"/>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04"/>
              <w:jc w:val="center"/>
              <w:spacing w:line="360" w:lineRule="auto"/>
              <w:rPr>
                <w:rFonts w:hint="eastAsia" w:ascii="宋体" w:hAnsi="宋体" w:eastAsia="宋体" w:cs="宋体"/>
                <w:b/>
                <w:color w:val="auto"/>
                <w:sz w:val="32"/>
                <w:szCs w:val="32"/>
                <w:highlight w:val="none"/>
              </w:rPr>
            </w:pPr>
            <w:r/>
            <w:bookmarkStart w:id="3" w:name="OLE_LINK35"/>
            <w:r/>
            <w:bookmarkStart w:id="4" w:name="OLE_LINK12"/>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bookmarkEnd w:id="3"/>
            <w:r/>
            <w:bookmarkEnd w:id="4"/>
            <w:r>
              <w:rPr>
                <w:rFonts w:hint="eastAsia" w:hAnsi="宋体" w:cs="宋体"/>
                <w:b/>
                <w:color w:val="auto"/>
                <w:sz w:val="32"/>
                <w:szCs w:val="32"/>
                <w:highlight w:val="none"/>
                <w:lang w:val="en-US" w:eastAsia="zh-CN"/>
              </w:rPr>
              <w:t xml:space="preserve">12月</w:t>
            </w:r>
            <w:r/>
          </w:p>
        </w:tc>
      </w:tr>
    </w:tbl>
    <w:p>
      <w:pPr>
        <w:rPr>
          <w:rFonts w:hint="eastAsia" w:ascii="宋体" w:hAnsi="宋体" w:eastAsia="宋体" w:cs="宋体"/>
          <w:b/>
          <w:color w:val="auto"/>
          <w:sz w:val="44"/>
          <w:szCs w:val="21"/>
          <w:highlight w:val="none"/>
        </w:rPr>
      </w:pPr>
      <w:r/>
      <w:bookmarkStart w:id="5" w:name="_Toc1185"/>
      <w:r/>
      <w:bookmarkEnd w:id="5"/>
      <w:r/>
      <w:bookmarkStart w:id="6" w:name="_Toc32753"/>
      <w:r/>
      <w:bookmarkEnd w:id="6"/>
      <w:r/>
      <w:bookmarkStart w:id="7" w:name="_Toc28507"/>
      <w:r/>
      <w:bookmarkEnd w:id="7"/>
      <w:r/>
      <w:r/>
    </w:p>
    <w:sdt>
      <w:sdtPr>
        <w15:appearance w15:val="boundingBox"/>
        <w:id w:val="147474154"/>
        <w:docPartObj>
          <w:docPartGallery w:val="Table of Contents"/>
          <w:docPartUnique w:val="true"/>
        </w:docPartObj>
        <w:rPr>
          <w:rFonts w:hint="eastAsia" w:ascii="宋体" w:hAnsi="宋体" w:eastAsia="宋体" w:cs="宋体"/>
          <w:b/>
          <w:bCs/>
          <w:color w:val="auto"/>
          <w:sz w:val="32"/>
          <w:szCs w:val="32"/>
          <w:highlight w:val="none"/>
        </w:rPr>
      </w:sdtPr>
      <w:sdtContent>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目  录</w:t>
          </w:r>
          <w:r/>
        </w:p>
        <w:p>
          <w:pPr>
            <w:pStyle w:val="930"/>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_Toc30400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0"/>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_Toc23310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0"/>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"_Toc19303"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_Toc19303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0"/>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"_Toc24319"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_Toc24319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0"/>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0"/>
            <w:jc w:val="center"/>
            <w:spacing w:line="360" w:lineRule="auto"/>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"_Toc9369"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8"/>
              <w:szCs w:val="28"/>
              <w:highlight w:val="none"/>
            </w:rPr>
            <w:fldChar w:fldCharType="end"/>
          </w:r>
          <w:r/>
        </w:p>
      </w:sdtContent>
    </w:sdt>
    <w:p>
      <w:pPr>
        <w:pStyle w:val="679"/>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679"/>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679"/>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keepNext w:val="0"/>
        <w:spacing w:line="360" w:lineRule="auto"/>
        <w:rPr>
          <w:rFonts w:hint="eastAsia" w:ascii="宋体" w:hAnsi="宋体" w:eastAsia="宋体" w:cs="宋体"/>
          <w:color w:val="auto"/>
          <w:highlight w:val="none"/>
        </w:rPr>
      </w:pPr>
      <w:r/>
      <w:bookmarkStart w:id="8" w:name="_Toc30400"/>
      <w:r/>
      <w:bookmarkStart w:id="9" w:name="_Toc18255"/>
      <w:r/>
      <w:bookmarkStart w:id="10" w:name="_Toc12508"/>
      <w:r>
        <w:rPr>
          <w:rFonts w:hint="eastAsia" w:ascii="宋体" w:hAnsi="宋体" w:eastAsia="宋体" w:cs="宋体"/>
          <w:color w:val="auto"/>
          <w:highlight w:val="none"/>
        </w:rPr>
        <w:t xml:space="preserve">第一章 竞争性磋商采购公告</w:t>
      </w:r>
      <w:bookmarkEnd w:id="8"/>
      <w:r/>
      <w:bookmarkEnd w:id="9"/>
      <w:r/>
      <w:bookmarkEnd w:id="10"/>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8"/>
          <w:highlight w:val="none"/>
        </w:rPr>
        <w:t xml:space="preserve">项目概况：</w:t>
      </w:r>
      <w:r>
        <w:rPr>
          <w:rFonts w:hint="eastAsia" w:ascii="宋体" w:hAnsi="宋体" w:cs="宋体"/>
          <w:color w:val="auto"/>
          <w:sz w:val="24"/>
          <w:szCs w:val="28"/>
          <w:highlight w:val="none"/>
          <w:u w:val="single"/>
          <w:lang w:eastAsia="zh-CN"/>
        </w:rPr>
        <w:t xml:space="preserve">2023年地膜科学使用回收试点项目（专门面向中小企业采购）</w:t>
      </w:r>
      <w:r>
        <w:rPr>
          <w:rFonts w:hint="eastAsia" w:ascii="宋体" w:hAnsi="宋体" w:eastAsia="宋体" w:cs="宋体"/>
          <w:color w:val="auto"/>
          <w:sz w:val="24"/>
          <w:szCs w:val="28"/>
          <w:highlight w:val="none"/>
        </w:rPr>
        <w:t xml:space="preserve">竞争性磋商项目的潜在供应商可在</w:t>
      </w:r>
      <w:r>
        <w:rPr>
          <w:rFonts w:hint="eastAsia" w:ascii="宋体" w:hAnsi="宋体" w:eastAsia="宋体" w:cs="宋体"/>
          <w:color w:val="auto"/>
          <w:sz w:val="24"/>
          <w:highlight w:val="none"/>
          <w:u w:val="single"/>
        </w:rPr>
        <w:t xml:space="preserve">“江苏政府采购网”自行免费下载</w:t>
      </w:r>
      <w:r>
        <w:rPr>
          <w:rFonts w:hint="eastAsia" w:ascii="宋体" w:hAnsi="宋体" w:eastAsia="宋体" w:cs="宋体"/>
          <w:color w:val="auto"/>
          <w:sz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white"/>
          <w:u w:val="single"/>
        </w:rPr>
        <w:t xml:space="preserve">202</w:t>
      </w:r>
      <w:r>
        <w:rPr>
          <w:rFonts w:hint="eastAsia" w:ascii="宋体" w:hAnsi="宋体" w:eastAsia="宋体" w:cs="宋体"/>
          <w:b/>
          <w:bCs/>
          <w:color w:val="auto"/>
          <w:sz w:val="24"/>
          <w:szCs w:val="28"/>
          <w:highlight w:val="white"/>
          <w:u w:val="single"/>
          <w:lang w:val="en-US" w:eastAsia="zh-CN"/>
        </w:rPr>
        <w:t xml:space="preserve">5</w:t>
      </w:r>
      <w:r>
        <w:rPr>
          <w:rFonts w:hint="eastAsia" w:ascii="宋体" w:hAnsi="宋体" w:eastAsia="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12月26</w:t>
      </w:r>
      <w:r>
        <w:rPr>
          <w:rFonts w:hint="eastAsia" w:ascii="宋体" w:hAnsi="宋体" w:eastAsia="宋体" w:cs="宋体"/>
          <w:b/>
          <w:bCs/>
          <w:color w:val="auto"/>
          <w:sz w:val="24"/>
          <w:szCs w:val="28"/>
          <w:highlight w:val="white"/>
          <w:u w:val="single"/>
        </w:rPr>
        <w:t xml:space="preserve">日09时00分00秒</w:t>
      </w:r>
      <w:r>
        <w:rPr>
          <w:rFonts w:hint="eastAsia" w:ascii="宋体" w:hAnsi="宋体" w:eastAsia="宋体" w:cs="宋体"/>
          <w:color w:val="auto"/>
          <w:sz w:val="24"/>
          <w:szCs w:val="28"/>
          <w:highlight w:val="none"/>
        </w:rPr>
        <w:t xml:space="preserve">（北京时间）前递交响应文件。 </w:t>
      </w:r>
      <w:r/>
    </w:p>
    <w:p>
      <w:pPr>
        <w:spacing w:line="360" w:lineRule="auto"/>
        <w:rPr>
          <w:rFonts w:hint="eastAsia" w:ascii="宋体" w:hAnsi="宋体" w:eastAsia="宋体" w:cs="宋体"/>
          <w:b/>
          <w:color w:val="auto"/>
          <w:sz w:val="24"/>
          <w:highlight w:val="none"/>
        </w:rPr>
      </w:pPr>
      <w:r/>
      <w:bookmarkStart w:id="11" w:name="_Toc28359012"/>
      <w:r/>
      <w:bookmarkStart w:id="12" w:name="_Toc28359089"/>
      <w:r/>
      <w:bookmarkStart w:id="13" w:name="_Toc35393798"/>
      <w:r/>
      <w:bookmarkStart w:id="14" w:name="_Toc35393629"/>
      <w:r>
        <w:rPr>
          <w:rFonts w:hint="eastAsia" w:ascii="宋体" w:hAnsi="宋体" w:eastAsia="宋体" w:cs="宋体"/>
          <w:b/>
          <w:color w:val="auto"/>
          <w:sz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1、项目编号：JSZC-320707-YGHZ-C2025-0004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szCs w:val="28"/>
          <w:highlight w:val="none"/>
          <w:lang w:eastAsia="zh-CN"/>
        </w:rPr>
        <w:t xml:space="preserve">2023年地膜科学使用回收试点项目（专门面向中小企业采购）</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eastAsia="宋体" w:cs="宋体"/>
          <w:color w:val="auto"/>
          <w:sz w:val="24"/>
          <w:highlight w:val="none"/>
        </w:rPr>
        <w:t xml:space="preserve">分包一：</w:t>
      </w:r>
      <w:r>
        <w:rPr>
          <w:rFonts w:hint="eastAsia" w:ascii="宋体" w:hAnsi="宋体" w:cs="宋体"/>
          <w:color w:val="auto"/>
          <w:sz w:val="24"/>
          <w:szCs w:val="28"/>
          <w:highlight w:val="none"/>
          <w:lang w:eastAsia="zh-CN"/>
        </w:rPr>
        <w:t xml:space="preserve">2023年地膜科学使用回收试点项目（专门面向中小企业采购）全生物降解地膜（标段编号：-1）</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分包二：2023年地膜科学使用回收试点项目（专门面向中小企业采购）加厚高强度地膜（标</w:t>
      </w:r>
      <w:r>
        <w:rPr>
          <w:rFonts w:hint="eastAsia" w:ascii="宋体" w:hAnsi="宋体" w:eastAsia="宋体" w:cs="宋体"/>
          <w:color w:val="auto"/>
          <w:sz w:val="24"/>
          <w:highlight w:val="none"/>
        </w:rPr>
        <w:t xml:space="preserve">段编号：-</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3、预算金额（最高限价）：总预算</w:t>
      </w:r>
      <w:r>
        <w:rPr>
          <w:rFonts w:hint="eastAsia" w:ascii="宋体" w:hAnsi="宋体" w:cs="宋体"/>
          <w:color w:val="auto"/>
          <w:sz w:val="24"/>
          <w:highlight w:val="none"/>
          <w:lang w:val="en-US" w:eastAsia="zh-CN"/>
        </w:rPr>
        <w:t xml:space="preserve">57.75</w:t>
      </w:r>
      <w:r>
        <w:rPr>
          <w:rFonts w:hint="eastAsia" w:ascii="宋体" w:hAnsi="宋体" w:eastAsia="宋体" w:cs="宋体"/>
          <w:bCs/>
          <w:color w:val="auto"/>
          <w:sz w:val="24"/>
          <w:highlight w:val="none"/>
        </w:rPr>
        <w:t xml:space="preserve">万元，</w:t>
      </w:r>
      <w:r>
        <w:rPr>
          <w:rFonts w:hint="eastAsia" w:ascii="宋体" w:hAnsi="宋体" w:eastAsia="宋体" w:cs="宋体"/>
          <w:color w:val="auto"/>
          <w:sz w:val="24"/>
          <w:highlight w:val="none"/>
        </w:rPr>
        <w:t xml:space="preserve">分包一预算为</w:t>
      </w:r>
      <w:r>
        <w:rPr>
          <w:rFonts w:hint="eastAsia" w:ascii="宋体" w:hAnsi="宋体" w:cs="宋体"/>
          <w:color w:val="auto"/>
          <w:sz w:val="24"/>
          <w:highlight w:val="none"/>
          <w:lang w:val="en-US" w:eastAsia="zh-CN"/>
        </w:rPr>
        <w:t xml:space="preserve">44.55</w:t>
      </w:r>
      <w:r>
        <w:rPr>
          <w:rFonts w:hint="eastAsia" w:ascii="宋体" w:hAnsi="宋体" w:eastAsia="宋体" w:cs="宋体"/>
          <w:color w:val="auto"/>
          <w:sz w:val="24"/>
          <w:highlight w:val="none"/>
        </w:rPr>
        <w:t xml:space="preserve">万元，以单价报价（</w:t>
      </w:r>
      <w:r>
        <w:rPr>
          <w:rFonts w:hint="eastAsia" w:ascii="宋体" w:hAnsi="宋体" w:eastAsia="宋体" w:cs="宋体"/>
          <w:color w:val="auto"/>
          <w:sz w:val="24"/>
          <w:highlight w:val="none"/>
          <w:lang w:val="en-US" w:eastAsia="zh-CN"/>
        </w:rPr>
        <w:t xml:space="preserve">高强度加厚地膜）</w:t>
      </w:r>
      <w:r>
        <w:rPr>
          <w:rFonts w:hint="eastAsia" w:ascii="宋体" w:hAnsi="宋体" w:eastAsia="宋体" w:cs="宋体"/>
          <w:color w:val="auto"/>
          <w:sz w:val="24"/>
          <w:highlight w:val="none"/>
        </w:rPr>
        <w:t xml:space="preserve">最高单价限价：1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000元/吨，</w:t>
      </w:r>
      <w:r>
        <w:rPr>
          <w:rFonts w:hint="eastAsia" w:ascii="宋体" w:hAnsi="宋体" w:eastAsia="宋体" w:cs="宋体"/>
          <w:bCs/>
          <w:color w:val="auto"/>
          <w:sz w:val="24"/>
          <w:highlight w:val="none"/>
        </w:rPr>
        <w:t xml:space="preserve">报价超过预算金额及最高单价限价的按无效响应处理；</w:t>
      </w:r>
      <w:r>
        <w:rPr>
          <w:rFonts w:hint="eastAsia" w:ascii="宋体" w:hAnsi="宋体" w:eastAsia="宋体" w:cs="宋体"/>
          <w:color w:val="auto"/>
          <w:sz w:val="24"/>
          <w:highlight w:val="none"/>
        </w:rPr>
        <w:t xml:space="preserve">分包二预算为</w:t>
      </w:r>
      <w:r>
        <w:rPr>
          <w:rFonts w:hint="eastAsia" w:ascii="宋体" w:hAnsi="宋体" w:cs="宋体"/>
          <w:color w:val="auto"/>
          <w:sz w:val="24"/>
          <w:highlight w:val="none"/>
          <w:lang w:val="en-US" w:eastAsia="zh-CN"/>
        </w:rPr>
        <w:t xml:space="preserve">13.2</w:t>
      </w:r>
      <w:r>
        <w:rPr>
          <w:rFonts w:hint="eastAsia" w:ascii="宋体" w:hAnsi="宋体" w:eastAsia="宋体" w:cs="宋体"/>
          <w:color w:val="auto"/>
          <w:sz w:val="24"/>
          <w:highlight w:val="none"/>
        </w:rPr>
        <w:t xml:space="preserve">万元，</w:t>
      </w:r>
      <w:r>
        <w:rPr>
          <w:rFonts w:hint="eastAsia" w:ascii="宋体" w:hAnsi="宋体" w:eastAsia="宋体" w:cs="宋体"/>
          <w:bCs/>
          <w:color w:val="auto"/>
          <w:sz w:val="24"/>
          <w:highlight w:val="none"/>
        </w:rPr>
        <w:t xml:space="preserve">以单价报价（</w:t>
      </w:r>
      <w:r>
        <w:rPr>
          <w:rFonts w:hint="eastAsia" w:ascii="宋体" w:hAnsi="宋体" w:eastAsia="宋体" w:cs="宋体"/>
          <w:bCs/>
          <w:color w:val="auto"/>
          <w:sz w:val="24"/>
          <w:highlight w:val="none"/>
          <w:lang w:val="en-US" w:eastAsia="zh-CN"/>
        </w:rPr>
        <w:t xml:space="preserve">全生物降解地膜）</w:t>
      </w:r>
      <w:r>
        <w:rPr>
          <w:rFonts w:hint="eastAsia" w:ascii="宋体" w:hAnsi="宋体" w:eastAsia="宋体" w:cs="宋体"/>
          <w:bCs/>
          <w:color w:val="auto"/>
          <w:sz w:val="24"/>
          <w:highlight w:val="none"/>
        </w:rPr>
        <w:t xml:space="preserve">最高单价限价：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000</w:t>
      </w:r>
      <w:r>
        <w:rPr>
          <w:rFonts w:hint="eastAsia" w:ascii="宋体" w:hAnsi="宋体" w:eastAsia="宋体" w:cs="宋体"/>
          <w:color w:val="auto"/>
          <w:sz w:val="24"/>
          <w:highlight w:val="none"/>
        </w:rPr>
        <w:t xml:space="preserve">元/吨</w:t>
      </w:r>
      <w:r>
        <w:rPr>
          <w:rFonts w:hint="eastAsia" w:ascii="宋体" w:hAnsi="宋体" w:eastAsia="宋体" w:cs="宋体"/>
          <w:bCs/>
          <w:color w:val="auto"/>
          <w:sz w:val="24"/>
          <w:highlight w:val="none"/>
        </w:rPr>
        <w:t xml:space="preserve">，报价超过预算金额及最高单价限价的按无效响应处理；</w:t>
      </w:r>
      <w:r>
        <w:rPr>
          <w:rFonts w:hint="eastAsia" w:ascii="宋体" w:hAnsi="宋体" w:eastAsia="宋体" w:cs="宋体"/>
          <w:b/>
          <w:bCs/>
          <w:color w:val="auto"/>
          <w:sz w:val="24"/>
          <w:highlight w:val="none"/>
        </w:rPr>
        <w:t xml:space="preserve">投标报价超过预算金额的投标无效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4、采购需求：</w:t>
      </w:r>
      <w:r>
        <w:rPr>
          <w:rFonts w:hint="eastAsia" w:ascii="宋体" w:hAnsi="宋体" w:cs="宋体"/>
          <w:color w:val="auto"/>
          <w:sz w:val="24"/>
          <w:szCs w:val="28"/>
          <w:highlight w:val="none"/>
          <w:lang w:eastAsia="zh-CN"/>
        </w:rPr>
        <w:t xml:space="preserve">2023年地膜科学使用回收试点项目（专门面向中小企业采购）</w:t>
      </w:r>
      <w:r>
        <w:rPr>
          <w:rFonts w:hint="eastAsia" w:ascii="宋体" w:hAnsi="宋体" w:eastAsia="宋体" w:cs="宋体"/>
          <w:color w:val="auto"/>
          <w:sz w:val="24"/>
          <w:szCs w:val="28"/>
          <w:highlight w:val="none"/>
        </w:rPr>
        <w:t xml:space="preserve">采购分包</w:t>
      </w:r>
      <w:r>
        <w:rPr>
          <w:rFonts w:hint="eastAsia" w:ascii="宋体" w:hAnsi="宋体" w:eastAsia="宋体" w:cs="宋体"/>
          <w:color w:val="auto"/>
          <w:sz w:val="24"/>
          <w:szCs w:val="28"/>
          <w:highlight w:val="none"/>
          <w:lang w:eastAsia="zh-CN"/>
        </w:rPr>
        <w:t xml:space="preserve">一：</w:t>
      </w:r>
      <w:r>
        <w:rPr>
          <w:rFonts w:hint="eastAsia" w:ascii="宋体" w:hAnsi="宋体" w:eastAsia="宋体" w:cs="宋体"/>
          <w:color w:val="auto"/>
          <w:sz w:val="24"/>
          <w:szCs w:val="28"/>
          <w:highlight w:val="none"/>
          <w:lang w:val="en-US" w:eastAsia="zh-CN"/>
        </w:rPr>
        <w:t xml:space="preserve">采购高强度加厚地膜</w:t>
      </w:r>
      <w:r>
        <w:rPr>
          <w:rFonts w:hint="eastAsia" w:ascii="宋体" w:hAnsi="宋体" w:cs="宋体"/>
          <w:color w:val="auto"/>
          <w:sz w:val="24"/>
          <w:szCs w:val="28"/>
          <w:highlight w:val="none"/>
          <w:lang w:val="en-US" w:eastAsia="zh-CN"/>
        </w:rPr>
        <w:t xml:space="preserve">44.55</w:t>
      </w:r>
      <w:r>
        <w:rPr>
          <w:rFonts w:hint="eastAsia" w:ascii="宋体" w:hAnsi="宋体" w:eastAsia="宋体" w:cs="宋体"/>
          <w:color w:val="auto"/>
          <w:sz w:val="24"/>
          <w:szCs w:val="28"/>
          <w:highlight w:val="none"/>
          <w:lang w:val="en-US" w:eastAsia="zh-CN"/>
        </w:rPr>
        <w:t xml:space="preserve">万元，主要应用于花生、马铃薯和蔬菜、甘薯、山芋等作物</w:t>
      </w:r>
      <w:r>
        <w:rPr>
          <w:rFonts w:hint="eastAsia" w:ascii="宋体" w:hAnsi="宋体" w:eastAsia="宋体" w:cs="宋体"/>
          <w:color w:val="auto"/>
          <w:sz w:val="24"/>
          <w:szCs w:val="28"/>
          <w:highlight w:val="none"/>
          <w:lang w:eastAsia="zh-CN"/>
        </w:rPr>
        <w:t xml:space="preserve">；分包二：</w:t>
      </w:r>
      <w:r>
        <w:rPr>
          <w:rFonts w:hint="eastAsia" w:ascii="宋体" w:hAnsi="宋体" w:eastAsia="宋体" w:cs="宋体"/>
          <w:color w:val="auto"/>
          <w:sz w:val="24"/>
          <w:szCs w:val="28"/>
          <w:highlight w:val="none"/>
          <w:lang w:val="en-US" w:eastAsia="zh-CN"/>
        </w:rPr>
        <w:t xml:space="preserve">采购全生物降解地膜</w:t>
      </w:r>
      <w:r>
        <w:rPr>
          <w:rFonts w:hint="eastAsia" w:ascii="宋体" w:hAnsi="宋体" w:cs="宋体"/>
          <w:color w:val="auto"/>
          <w:sz w:val="24"/>
          <w:szCs w:val="28"/>
          <w:highlight w:val="none"/>
          <w:lang w:val="en-US" w:eastAsia="zh-CN"/>
        </w:rPr>
        <w:t xml:space="preserve">13.2</w:t>
      </w:r>
      <w:r>
        <w:rPr>
          <w:rFonts w:hint="eastAsia" w:ascii="宋体" w:hAnsi="宋体" w:eastAsia="宋体" w:cs="宋体"/>
          <w:color w:val="auto"/>
          <w:sz w:val="24"/>
          <w:szCs w:val="28"/>
          <w:highlight w:val="none"/>
          <w:lang w:val="en-US" w:eastAsia="zh-CN"/>
        </w:rPr>
        <w:t xml:space="preserve">万元，主要应用于花生、马铃薯和蔬菜、甘薯、山芋等作物</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二</w:t>
      </w:r>
      <w:r>
        <w:rPr>
          <w:rFonts w:hint="eastAsia" w:ascii="宋体" w:hAnsi="宋体" w:eastAsia="宋体" w:cs="宋体"/>
          <w:color w:val="auto"/>
          <w:sz w:val="24"/>
          <w:szCs w:val="28"/>
          <w:highlight w:val="none"/>
          <w:lang w:eastAsia="zh-CN"/>
        </w:rPr>
        <w:t xml:space="preserve">个标段合计</w:t>
      </w:r>
      <w:r>
        <w:rPr>
          <w:rFonts w:hint="eastAsia" w:ascii="宋体" w:hAnsi="宋体" w:cs="宋体"/>
          <w:color w:val="auto"/>
          <w:sz w:val="24"/>
          <w:szCs w:val="28"/>
          <w:highlight w:val="none"/>
          <w:lang w:val="en-US" w:eastAsia="zh-CN"/>
        </w:rPr>
        <w:t xml:space="preserve">57.75</w:t>
      </w:r>
      <w:r>
        <w:rPr>
          <w:rFonts w:hint="eastAsia" w:ascii="宋体" w:hAnsi="宋体" w:eastAsia="宋体" w:cs="宋体"/>
          <w:color w:val="auto"/>
          <w:sz w:val="24"/>
          <w:szCs w:val="28"/>
          <w:highlight w:val="none"/>
          <w:lang w:eastAsia="zh-CN"/>
        </w:rPr>
        <w:t xml:space="preserve">万元，具体要求详见招标文件第四章项目需求。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对项目需求部分的询问、质疑请与采购人联系；</w:t>
      </w:r>
      <w:r/>
    </w:p>
    <w:p>
      <w:pPr>
        <w:pStyle w:val="69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供货方式：分批次供货（接到采购人通知3日内送达指定</w:t>
      </w:r>
      <w:r>
        <w:rPr>
          <w:rFonts w:hint="eastAsia" w:ascii="宋体" w:hAnsi="宋体" w:eastAsia="宋体" w:cs="宋体"/>
          <w:color w:val="auto"/>
          <w:sz w:val="24"/>
          <w:szCs w:val="24"/>
          <w:highlight w:val="none"/>
          <w:lang w:val="en-US" w:eastAsia="zh-CN"/>
        </w:rPr>
        <w:t xml:space="preserve">乡镇</w:t>
      </w:r>
      <w:r>
        <w:rPr>
          <w:rFonts w:hint="eastAsia" w:ascii="宋体" w:hAnsi="宋体" w:eastAsia="宋体" w:cs="宋体"/>
          <w:color w:val="auto"/>
          <w:sz w:val="24"/>
          <w:szCs w:val="24"/>
          <w:highlight w:val="none"/>
        </w:rPr>
        <w:t xml:space="preserve">地点）；</w:t>
      </w:r>
      <w:r/>
    </w:p>
    <w:p>
      <w:pPr>
        <w:pStyle w:val="965"/>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6、供货期限：合同签订之日起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个月内完成供货；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联合体参与磋商。</w:t>
      </w:r>
      <w:r/>
    </w:p>
    <w:p>
      <w:pPr>
        <w:spacing w:line="360" w:lineRule="auto"/>
        <w:rPr>
          <w:rFonts w:hint="eastAsia" w:ascii="宋体" w:hAnsi="宋体" w:eastAsia="宋体" w:cs="宋体"/>
          <w:b/>
          <w:color w:val="auto"/>
          <w:sz w:val="24"/>
          <w:highlight w:val="none"/>
        </w:rPr>
      </w:pPr>
      <w:r/>
      <w:bookmarkStart w:id="15" w:name="_Toc35393630"/>
      <w:r/>
      <w:bookmarkStart w:id="16" w:name="_Toc28359013"/>
      <w:r/>
      <w:bookmarkStart w:id="17" w:name="_Toc28359090"/>
      <w:r/>
      <w:bookmarkStart w:id="18" w:name="_Toc35393799"/>
      <w:r>
        <w:rPr>
          <w:rFonts w:hint="eastAsia" w:ascii="宋体" w:hAnsi="宋体" w:eastAsia="宋体" w:cs="宋体"/>
          <w:b/>
          <w:color w:val="auto"/>
          <w:sz w:val="24"/>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信用中国”查询，供应商被列入失信被执行人、重大税收违法案件当事人名单、政府采购严重违法失信行为记录名单及具有其他不符合《中华人民共和国政府采购法》第二十二条规定情形的，拒绝其参与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法律、行政法规规定的其他条件。</w:t>
      </w:r>
      <w:r/>
    </w:p>
    <w:p>
      <w:pPr>
        <w:ind w:firstLine="480"/>
        <w:spacing w:line="360" w:lineRule="auto"/>
        <w:rPr>
          <w:rFonts w:hint="eastAsia" w:ascii="宋体" w:hAnsi="宋体" w:eastAsia="宋体" w:cs="宋体"/>
          <w:color w:val="auto"/>
          <w:sz w:val="24"/>
          <w:highlight w:val="none"/>
        </w:rPr>
      </w:pPr>
      <w:r/>
      <w:bookmarkStart w:id="19" w:name="_Toc28359091"/>
      <w:r/>
      <w:bookmarkStart w:id="20" w:name="_Toc28359014"/>
      <w:r>
        <w:rPr>
          <w:rFonts w:hint="eastAsia" w:ascii="宋体" w:hAnsi="宋体" w:eastAsia="宋体" w:cs="宋体"/>
          <w:color w:val="auto"/>
          <w:sz w:val="24"/>
          <w:highlight w:val="none"/>
        </w:rPr>
        <w:t xml:space="preserve">2、落实政府采购政策需满足的资格要求：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并上传至电子响应文件中，具体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4、本项目的其他资格要求：供应商/投标主体及其法定代表人、项目负责人未被列入“连云港市赣榆区行贿人联合惩戒信息库。</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备注:采购人/招标人和区公共资源交易中心通过赣榆区行贿人联合惩戒信息库，对供应商/投标主体情况进行内部查询，查询结果页面打印留存。</w:t>
      </w:r>
      <w:r/>
    </w:p>
    <w:p>
      <w:pPr>
        <w:pStyle w:val="725"/>
        <w:jc w:val="both"/>
        <w:spacing w:before="0" w:beforeAutospacing="0" w:after="0" w:afterAutospacing="0" w:line="360" w:lineRule="auto"/>
        <w:widowControl w:val="off"/>
        <w:rPr>
          <w:rFonts w:hint="eastAsia" w:ascii="宋体" w:hAnsi="宋体" w:eastAsia="宋体" w:cs="宋体"/>
          <w:b/>
          <w:color w:val="auto"/>
          <w:highlight w:val="none"/>
        </w:rPr>
      </w:pPr>
      <w:r/>
      <w:bookmarkStart w:id="21" w:name="_Toc35393631"/>
      <w:r/>
      <w:bookmarkStart w:id="22" w:name="_Toc35393800"/>
      <w:r>
        <w:rPr>
          <w:rFonts w:hint="eastAsia" w:ascii="宋体" w:hAnsi="宋体" w:eastAsia="宋体" w:cs="宋体"/>
          <w:b/>
          <w:color w:val="auto"/>
          <w:highlight w:val="none"/>
        </w:rPr>
        <w:t xml:space="preserve">三、获取</w:t>
      </w:r>
      <w:bookmarkEnd w:id="19"/>
      <w:r/>
      <w:bookmarkEnd w:id="20"/>
      <w:r/>
      <w:bookmarkEnd w:id="21"/>
      <w:r/>
      <w:bookmarkEnd w:id="22"/>
      <w:r>
        <w:rPr>
          <w:rFonts w:hint="eastAsia" w:ascii="宋体" w:hAnsi="宋体" w:eastAsia="宋体" w:cs="宋体"/>
          <w:b/>
          <w:color w:val="auto"/>
          <w:highlight w:val="none"/>
        </w:rPr>
        <w:t xml:space="preserve">磋商文件</w:t>
      </w:r>
      <w:r/>
    </w:p>
    <w:p>
      <w:pPr>
        <w:ind w:firstLine="480"/>
        <w:spacing w:line="360" w:lineRule="auto"/>
        <w:rPr>
          <w:rFonts w:hint="eastAsia" w:ascii="宋体" w:hAnsi="宋体" w:eastAsia="宋体" w:cs="宋体"/>
          <w:color w:val="auto"/>
          <w:sz w:val="24"/>
          <w:highlight w:val="none"/>
        </w:rPr>
      </w:pPr>
      <w:r/>
      <w:bookmarkStart w:id="23" w:name="_Toc35393801"/>
      <w:r/>
      <w:bookmarkStart w:id="24" w:name="_Toc28359015"/>
      <w:r/>
      <w:bookmarkStart w:id="25" w:name="_Toc35393632"/>
      <w:r/>
      <w:bookmarkStart w:id="26" w:name="_Toc28359092"/>
      <w:r>
        <w:rPr>
          <w:rFonts w:hint="eastAsia" w:ascii="宋体" w:hAnsi="宋体" w:eastAsia="宋体" w:cs="宋体"/>
          <w:color w:val="auto"/>
          <w:sz w:val="24"/>
          <w:highlight w:val="none"/>
        </w:rPr>
        <w:t xml:space="preserve">1、时间：自磋商文件公告发布之日起5个工作日。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2、方式：在“江苏政府采购网”自行免费下载磋商文件。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3、售价：0元。</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bookmarkEnd w:id="23"/>
      <w:r/>
      <w:bookmarkEnd w:id="24"/>
      <w:r/>
      <w:bookmarkEnd w:id="25"/>
      <w:r/>
      <w:bookmarkEnd w:id="26"/>
      <w:r/>
      <w:bookmarkStart w:id="27" w:name="_Toc20177"/>
      <w:r/>
      <w:bookmarkStart w:id="28" w:name="_Toc28359094"/>
      <w:r/>
      <w:bookmarkStart w:id="29" w:name="_Toc28359017"/>
      <w:r/>
      <w:bookmarkStart w:id="30" w:name="_Toc35393803"/>
      <w:r/>
      <w:bookmarkStart w:id="31" w:name="_Toc35393634"/>
      <w:r>
        <w:rPr>
          <w:rFonts w:hint="eastAsia" w:ascii="宋体" w:hAnsi="宋体" w:eastAsia="宋体" w:cs="宋体"/>
          <w:b/>
          <w:color w:val="auto"/>
          <w:sz w:val="24"/>
          <w:highlight w:val="none"/>
        </w:rPr>
        <w:t xml:space="preserve">电子响应文件递交及开标时间和地点</w:t>
      </w:r>
      <w:bookmarkEnd w:id="2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1、响应文件接收截止时间：</w:t>
      </w:r>
      <w:r>
        <w:rPr>
          <w:rFonts w:hint="eastAsia" w:ascii="宋体" w:hAnsi="宋体" w:eastAsia="宋体" w:cs="宋体"/>
          <w:color w:val="auto"/>
          <w:sz w:val="24"/>
          <w:szCs w:val="28"/>
          <w:highlight w:val="white"/>
        </w:rPr>
        <w:t xml:space="preserve">202</w:t>
      </w:r>
      <w:r>
        <w:rPr>
          <w:rFonts w:hint="eastAsia" w:ascii="宋体" w:hAnsi="宋体" w:eastAsia="宋体" w:cs="宋体"/>
          <w:color w:val="auto"/>
          <w:sz w:val="24"/>
          <w:szCs w:val="28"/>
          <w:highlight w:val="white"/>
          <w:lang w:val="en-US" w:eastAsia="zh-CN"/>
        </w:rPr>
        <w:t xml:space="preserve">5</w:t>
      </w:r>
      <w:r>
        <w:rPr>
          <w:rFonts w:hint="eastAsia" w:ascii="宋体" w:hAnsi="宋体" w:eastAsia="宋体" w:cs="宋体"/>
          <w:color w:val="auto"/>
          <w:sz w:val="24"/>
          <w:szCs w:val="28"/>
          <w:highlight w:val="white"/>
        </w:rPr>
        <w:t xml:space="preserve">年</w:t>
      </w:r>
      <w:r>
        <w:rPr>
          <w:rFonts w:hint="eastAsia" w:ascii="宋体" w:hAnsi="宋体" w:cs="宋体"/>
          <w:color w:val="auto"/>
          <w:sz w:val="24"/>
          <w:szCs w:val="28"/>
          <w:highlight w:val="white"/>
          <w:lang w:val="en-US" w:eastAsia="zh-CN"/>
        </w:rPr>
        <w:t xml:space="preserve">12月26</w:t>
      </w:r>
      <w:r>
        <w:rPr>
          <w:rFonts w:hint="eastAsia" w:ascii="宋体" w:hAnsi="宋体" w:eastAsia="宋体" w:cs="宋体"/>
          <w:color w:val="auto"/>
          <w:sz w:val="24"/>
          <w:szCs w:val="28"/>
          <w:highlight w:val="white"/>
        </w:rPr>
        <w:t xml:space="preserve">日09:00:00</w:t>
      </w:r>
      <w:r>
        <w:rPr>
          <w:rFonts w:hint="eastAsia" w:ascii="宋体" w:hAnsi="宋体" w:eastAsia="宋体" w:cs="宋体"/>
          <w:color w:val="auto"/>
          <w:sz w:val="24"/>
          <w:szCs w:val="28"/>
          <w:highlight w:val="none"/>
        </w:rPr>
        <w:t xml:space="preserve">（北京时间）；</w:t>
      </w:r>
      <w:r>
        <w:rPr>
          <w:rFonts w:hint="eastAsia" w:ascii="宋体" w:hAnsi="宋体" w:eastAsia="宋体" w:cs="宋体"/>
          <w:color w:val="auto"/>
          <w:sz w:val="24"/>
          <w:highlight w:val="none"/>
        </w:rPr>
        <w:t xml:space="preserve">逾时，交易系统将拒绝接受上</w:t>
      </w:r>
      <w:r>
        <w:rPr>
          <w:rFonts w:hint="eastAsia" w:ascii="宋体" w:hAnsi="宋体" w:eastAsia="宋体" w:cs="宋体"/>
          <w:color w:val="auto"/>
          <w:sz w:val="24"/>
          <w:szCs w:val="28"/>
          <w:highlight w:val="none"/>
        </w:rPr>
        <w:t xml:space="preserve">传响应文件电子文档。</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所有的响应供应商须在苏彩云系统规定时间内填写并提交最后报价，未在磋商小组规定的时间内完成最后报价的视为放弃磋商，其磋商响应按无效响应处理。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eastAsia="宋体" w:cs="宋体"/>
          <w:color w:val="auto"/>
          <w:sz w:val="24"/>
          <w:szCs w:val="28"/>
          <w:highlight w:val="none"/>
        </w:rPr>
      </w:pPr>
      <w:r/>
      <w:bookmarkStart w:id="32" w:name="_Toc28359093"/>
      <w:r/>
      <w:bookmarkStart w:id="33" w:name="_Toc35393802"/>
      <w:r/>
      <w:bookmarkStart w:id="34" w:name="_Toc35393633"/>
      <w:r/>
      <w:bookmarkStart w:id="35" w:name="_Toc28359016"/>
      <w:r>
        <w:rPr>
          <w:rFonts w:hint="eastAsia" w:ascii="宋体" w:hAnsi="宋体" w:eastAsia="宋体" w:cs="宋体"/>
          <w:color w:val="auto"/>
          <w:sz w:val="24"/>
          <w:szCs w:val="28"/>
          <w:highlight w:val="none"/>
        </w:rPr>
        <w:t xml:space="preserve">2、线上开标地点：“苏采云”系统（网址：http://jszfcg.jsczt.cn/）“开标大厅”。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3、响应文件的解密：开标当天各供应商及时登录不见面开标大厅，响应文件递交截止时间后，采购</w:t>
      </w:r>
      <w:r>
        <w:rPr>
          <w:rFonts w:hint="eastAsia" w:ascii="宋体" w:hAnsi="宋体" w:eastAsia="宋体" w:cs="宋体"/>
          <w:color w:val="auto"/>
          <w:sz w:val="24"/>
          <w:szCs w:val="28"/>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32"/>
      <w:r/>
      <w:bookmarkEnd w:id="33"/>
      <w:r/>
      <w:bookmarkEnd w:id="34"/>
      <w:r/>
      <w:bookmarkEnd w:id="35"/>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28"/>
      <w:r/>
      <w:bookmarkEnd w:id="29"/>
      <w:r/>
      <w:bookmarkEnd w:id="30"/>
      <w:r/>
      <w:bookmarkEnd w:id="31"/>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highlight w:val="none"/>
        </w:rPr>
      </w:pPr>
      <w:r/>
      <w:bookmarkStart w:id="36" w:name="_Toc38985268"/>
      <w:r/>
      <w:bookmarkStart w:id="37" w:name="_Toc35393795"/>
      <w:r/>
      <w:bookmarkStart w:id="38" w:name="_Toc35393626"/>
      <w:r>
        <w:rPr>
          <w:rFonts w:hint="eastAsia" w:ascii="宋体" w:hAnsi="宋体" w:eastAsia="宋体" w:cs="宋体"/>
          <w:color w:val="auto"/>
          <w:sz w:val="24"/>
          <w:highlight w:val="none"/>
        </w:rPr>
        <w:t xml:space="preserve">自本公告发布之日起3个工作日。</w:t>
      </w:r>
      <w:bookmarkEnd w:id="36"/>
      <w:r/>
      <w:bookmarkEnd w:id="37"/>
      <w:r/>
      <w:bookmarkEnd w:id="38"/>
      <w:r/>
      <w:r/>
    </w:p>
    <w:p>
      <w:pPr>
        <w:spacing w:line="360" w:lineRule="auto"/>
        <w:rPr>
          <w:rFonts w:hint="eastAsia" w:ascii="宋体" w:hAnsi="宋体" w:eastAsia="宋体" w:cs="宋体"/>
          <w:b/>
          <w:color w:val="auto"/>
          <w:sz w:val="24"/>
          <w:highlight w:val="none"/>
        </w:rPr>
      </w:pPr>
      <w:r/>
      <w:bookmarkStart w:id="39" w:name="_Toc35393804"/>
      <w:r/>
      <w:bookmarkStart w:id="40" w:name="_Toc35393635"/>
      <w:r>
        <w:rPr>
          <w:rFonts w:hint="eastAsia" w:ascii="宋体" w:hAnsi="宋体" w:eastAsia="宋体" w:cs="宋体"/>
          <w:b/>
          <w:color w:val="auto"/>
          <w:sz w:val="24"/>
          <w:highlight w:val="none"/>
        </w:rPr>
        <w:t xml:space="preserve">六、其他补充事宜</w:t>
      </w:r>
      <w:bookmarkEnd w:id="39"/>
      <w:r/>
      <w:bookmarkEnd w:id="40"/>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响应文件编制或提交失误，由此造成的一切损失由供应商自行承担。</w:t>
      </w:r>
      <w:r/>
    </w:p>
    <w:p>
      <w:pPr>
        <w:spacing w:line="360" w:lineRule="auto"/>
        <w:rPr>
          <w:rFonts w:hint="eastAsia" w:ascii="宋体" w:hAnsi="宋体" w:eastAsia="宋体" w:cs="宋体"/>
          <w:b/>
          <w:color w:val="auto"/>
          <w:sz w:val="24"/>
          <w:highlight w:val="none"/>
        </w:rPr>
      </w:pPr>
      <w:r/>
      <w:bookmarkStart w:id="41" w:name="_Toc28359018"/>
      <w:r/>
      <w:bookmarkStart w:id="42" w:name="_Toc35393805"/>
      <w:r/>
      <w:bookmarkStart w:id="43" w:name="_Toc28359095"/>
      <w:r/>
      <w:bookmarkStart w:id="44" w:name="_Toc35393636"/>
      <w:r>
        <w:rPr>
          <w:rFonts w:hint="eastAsia" w:ascii="宋体" w:hAnsi="宋体" w:eastAsia="宋体" w:cs="宋体"/>
          <w:b/>
          <w:color w:val="auto"/>
          <w:sz w:val="24"/>
          <w:highlight w:val="none"/>
        </w:rPr>
        <w:t xml:space="preserve">七、</w:t>
      </w:r>
      <w:bookmarkEnd w:id="41"/>
      <w:r/>
      <w:bookmarkEnd w:id="42"/>
      <w:r/>
      <w:bookmarkEnd w:id="43"/>
      <w:r/>
      <w:bookmarkEnd w:id="44"/>
      <w:r>
        <w:rPr>
          <w:rFonts w:hint="eastAsia" w:ascii="宋体" w:hAnsi="宋体" w:eastAsia="宋体" w:cs="宋体"/>
          <w:b/>
          <w:color w:val="auto"/>
          <w:sz w:val="24"/>
          <w:highlight w:val="none"/>
        </w:rPr>
        <w:t xml:space="preserve">本次磋商联系方式</w:t>
      </w:r>
      <w:r/>
    </w:p>
    <w:p>
      <w:pPr>
        <w:ind w:firstLine="480"/>
        <w:spacing w:line="360" w:lineRule="auto"/>
        <w:rPr>
          <w:rFonts w:hint="eastAsia" w:ascii="宋体" w:hAnsi="宋体" w:eastAsia="宋体" w:cs="宋体"/>
          <w:color w:val="auto"/>
          <w:sz w:val="24"/>
          <w:highlight w:val="none"/>
        </w:rPr>
      </w:pPr>
      <w:r/>
      <w:bookmarkStart w:id="45" w:name="_Toc35393806"/>
      <w:r/>
      <w:bookmarkStart w:id="46" w:name="_Toc35393637"/>
      <w:r/>
      <w:bookmarkStart w:id="47" w:name="_Toc28359096"/>
      <w:r/>
      <w:bookmarkStart w:id="48" w:name="_Toc28359019"/>
      <w:r>
        <w:rPr>
          <w:rFonts w:hint="eastAsia" w:ascii="宋体" w:hAnsi="宋体" w:eastAsia="宋体" w:cs="宋体"/>
          <w:color w:val="auto"/>
          <w:sz w:val="24"/>
          <w:highlight w:val="none"/>
        </w:rPr>
        <w:t xml:space="preserve">1、采购人信息</w:t>
      </w:r>
      <w:bookmarkEnd w:id="45"/>
      <w:r/>
      <w:bookmarkEnd w:id="46"/>
      <w:r/>
      <w:bookmarkEnd w:id="47"/>
      <w:r/>
      <w:bookmarkEnd w:id="48"/>
      <w:r/>
      <w:r/>
    </w:p>
    <w:p>
      <w:pPr>
        <w:ind w:firstLine="480"/>
        <w:spacing w:line="360" w:lineRule="auto"/>
        <w:rPr>
          <w:rFonts w:hint="eastAsia" w:ascii="宋体" w:hAnsi="宋体" w:eastAsia="宋体" w:cs="宋体"/>
          <w:color w:val="auto"/>
          <w:sz w:val="24"/>
          <w:highlight w:val="none"/>
          <w:lang w:eastAsia="zh-CN"/>
        </w:rPr>
      </w:pPr>
      <w:r/>
      <w:bookmarkStart w:id="49" w:name="_Toc28359020"/>
      <w:r/>
      <w:bookmarkStart w:id="50" w:name="_Toc28359097"/>
      <w:r/>
      <w:bookmarkStart w:id="51" w:name="_Toc35393638"/>
      <w:r/>
      <w:bookmarkStart w:id="52" w:name="_Toc35393807"/>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连云港市赣榆区农村能源环境保护办公室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地址：连云港市赣榆区黄海东路303号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ascii="宋体" w:hAnsi="宋体" w:eastAsia="宋体" w:cs="宋体"/>
          <w:color w:val="000000"/>
          <w:sz w:val="24"/>
        </w:rPr>
        <w:t xml:space="preserve">张勇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ascii="宋体" w:hAnsi="宋体" w:eastAsia="宋体" w:cs="宋体"/>
          <w:color w:val="000000"/>
          <w:sz w:val="24"/>
        </w:rPr>
        <w:t xml:space="preserve">13739123789</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江苏省连云港市赣榆区青口镇富山东城海岸小区C区140号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尹工</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ascii="宋体" w:hAnsi="宋体" w:eastAsia="宋体" w:cs="宋体"/>
          <w:color w:val="000000"/>
          <w:sz w:val="24"/>
        </w:rPr>
        <w:t xml:space="preserve">13337879959</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八、电子采购说明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w:t>
      </w:r>
      <w:r>
        <w:rPr>
          <w:rFonts w:hint="eastAsia" w:ascii="宋体" w:hAnsi="宋体" w:eastAsia="宋体" w:cs="宋体"/>
          <w:color w:val="auto"/>
          <w:sz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p>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有关本次磋商的事项若存在变动或修改，敬请及时关注“江苏政府采购网”发布的更正公告。</w:t>
      </w:r>
      <w:r/>
    </w:p>
    <w:p>
      <w:pPr>
        <w:jc w:val="center"/>
        <w:spacing w:line="360" w:lineRule="auto"/>
        <w:rPr>
          <w:rFonts w:hint="eastAsia" w:ascii="宋体" w:hAnsi="宋体" w:eastAsia="宋体" w:cs="宋体"/>
          <w:b/>
          <w:bCs/>
          <w:color w:val="auto"/>
          <w:sz w:val="44"/>
          <w:szCs w:val="44"/>
          <w:highlight w:val="none"/>
        </w:rPr>
        <w:outlineLvl w:val="0"/>
      </w:pPr>
      <w:r>
        <w:rPr>
          <w:rFonts w:hint="eastAsia" w:ascii="宋体" w:hAnsi="宋体" w:eastAsia="宋体" w:cs="宋体"/>
          <w:color w:val="auto"/>
          <w:sz w:val="24"/>
          <w:highlight w:val="none"/>
        </w:rPr>
        <w:br w:type="page" w:clear="all"/>
      </w:r>
      <w:bookmarkStart w:id="53" w:name="_Toc7098"/>
      <w:r/>
      <w:bookmarkStart w:id="54" w:name="_Toc465856612"/>
      <w:r/>
      <w:bookmarkStart w:id="55" w:name="_Toc10836"/>
      <w:r/>
      <w:bookmarkStart w:id="56" w:name="_Toc513029209"/>
      <w:r/>
      <w:bookmarkStart w:id="57" w:name="_Toc23310"/>
      <w:r/>
      <w:bookmarkStart w:id="58" w:name="_Toc14577347"/>
      <w:r/>
      <w:bookmarkStart w:id="59" w:name="_Toc61149549"/>
      <w:r>
        <w:rPr>
          <w:rFonts w:hint="eastAsia" w:ascii="宋体" w:hAnsi="宋体" w:eastAsia="宋体" w:cs="宋体"/>
          <w:b/>
          <w:color w:val="auto"/>
          <w:sz w:val="44"/>
          <w:szCs w:val="20"/>
          <w:highlight w:val="none"/>
        </w:rPr>
        <w:t xml:space="preserve">第二章 </w:t>
      </w:r>
      <w:bookmarkEnd w:id="53"/>
      <w:r/>
      <w:bookmarkEnd w:id="54"/>
      <w:r/>
      <w:bookmarkEnd w:id="55"/>
      <w:r>
        <w:rPr>
          <w:rFonts w:hint="eastAsia" w:ascii="宋体" w:hAnsi="宋体" w:eastAsia="宋体" w:cs="宋体"/>
          <w:b/>
          <w:color w:val="auto"/>
          <w:sz w:val="44"/>
          <w:szCs w:val="20"/>
          <w:highlight w:val="none"/>
        </w:rPr>
        <w:t xml:space="preserve">供应商须知</w:t>
      </w:r>
      <w:bookmarkEnd w:id="56"/>
      <w:r/>
      <w:bookmarkEnd w:id="57"/>
      <w:r/>
      <w:bookmarkEnd w:id="58"/>
      <w:r/>
      <w:bookmarkEnd w:id="59"/>
      <w:r/>
      <w:r/>
    </w:p>
    <w:p>
      <w:pPr>
        <w:ind w:firstLine="482"/>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一、总则</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0" w:name="_Toc20823276"/>
      <w:r/>
      <w:bookmarkStart w:id="61" w:name="_Toc458694821"/>
      <w:r/>
      <w:bookmarkStart w:id="62" w:name="_Toc16938520"/>
      <w:r/>
      <w:bookmarkStart w:id="63" w:name="_Toc513029204"/>
      <w:r>
        <w:rPr>
          <w:rFonts w:hint="eastAsia" w:ascii="宋体" w:hAnsi="宋体" w:eastAsia="宋体" w:cs="宋体"/>
          <w:color w:val="auto"/>
          <w:sz w:val="24"/>
          <w:highlight w:val="none"/>
        </w:rPr>
        <w:t xml:space="preserve">1</w:t>
      </w:r>
      <w:bookmarkEnd w:id="60"/>
      <w:r>
        <w:rPr>
          <w:rFonts w:hint="eastAsia" w:ascii="宋体" w:hAnsi="宋体" w:eastAsia="宋体" w:cs="宋体"/>
          <w:color w:val="auto"/>
          <w:sz w:val="24"/>
          <w:highlight w:val="none"/>
        </w:rPr>
        <w:t xml:space="preserve">、采购方式</w:t>
      </w:r>
      <w:bookmarkEnd w:id="61"/>
      <w:r/>
      <w:bookmarkEnd w:id="62"/>
      <w:r/>
      <w:bookmarkEnd w:id="6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本次政府采购活动采取竞争性磋商（以下简称磋商）方式，本磋商文件仅适用于磋商公告中所述项目。</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4" w:name="_Toc20823277"/>
      <w:r/>
      <w:bookmarkStart w:id="65" w:name="_Toc16938521"/>
      <w:r/>
      <w:bookmarkStart w:id="66" w:name="_Toc513029205"/>
      <w:r>
        <w:rPr>
          <w:rFonts w:hint="eastAsia" w:ascii="宋体" w:hAnsi="宋体" w:eastAsia="宋体" w:cs="宋体"/>
          <w:color w:val="auto"/>
          <w:sz w:val="24"/>
          <w:highlight w:val="none"/>
        </w:rPr>
        <w:t xml:space="preserve">2、合格的</w:t>
      </w:r>
      <w:bookmarkEnd w:id="64"/>
      <w:r/>
      <w:bookmarkEnd w:id="65"/>
      <w:r/>
      <w:bookmarkEnd w:id="66"/>
      <w:r>
        <w:rPr>
          <w:rFonts w:hint="eastAsia" w:ascii="宋体" w:hAnsi="宋体" w:eastAsia="宋体" w:cs="宋体"/>
          <w:color w:val="auto"/>
          <w:sz w:val="24"/>
          <w:highlight w:val="none"/>
        </w:rPr>
        <w:t xml:space="preserve">供应商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满足磋商公告中供应商资格要求的规定。</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7" w:name="_Toc513029206"/>
      <w:r/>
      <w:bookmarkStart w:id="68" w:name="_Toc16938522"/>
      <w:r/>
      <w:bookmarkStart w:id="69" w:name="_Toc20823278"/>
      <w:r>
        <w:rPr>
          <w:rFonts w:hint="eastAsia" w:ascii="宋体" w:hAnsi="宋体" w:eastAsia="宋体" w:cs="宋体"/>
          <w:color w:val="auto"/>
          <w:sz w:val="24"/>
          <w:highlight w:val="none"/>
        </w:rPr>
        <w:t xml:space="preserve">3、适用法律</w:t>
      </w:r>
      <w:bookmarkEnd w:id="67"/>
      <w:r/>
      <w:bookmarkEnd w:id="68"/>
      <w:r/>
      <w:bookmarkEnd w:id="6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70" w:name="_Toc16938523"/>
      <w:r/>
      <w:bookmarkStart w:id="71" w:name="_Toc462564067"/>
      <w:r/>
      <w:bookmarkStart w:id="72" w:name="_Toc513029207"/>
      <w:r/>
      <w:bookmarkStart w:id="73" w:name="_Toc20823279"/>
      <w:r>
        <w:rPr>
          <w:rFonts w:hint="eastAsia" w:ascii="宋体" w:hAnsi="宋体" w:eastAsia="宋体" w:cs="宋体"/>
          <w:color w:val="auto"/>
          <w:sz w:val="24"/>
          <w:highlight w:val="none"/>
        </w:rPr>
        <w:t xml:space="preserve">4、磋商费用</w:t>
      </w:r>
      <w:bookmarkEnd w:id="70"/>
      <w:r/>
      <w:bookmarkEnd w:id="71"/>
      <w:r/>
      <w:bookmarkEnd w:id="72"/>
      <w:r/>
      <w:bookmarkEnd w:id="7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连云港衡致工程造价咨询有限公司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本次磋商不收取标书工本费。</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本次磋商代理服务费由成交人在接收中标通知书前按江苏省招标投标协会苏招协【2022】002号文，关于印发《江苏省招标代理服务收费的指导意见》的通知”规定货物类标准的</w:t>
      </w:r>
      <w:r>
        <w:rPr>
          <w:rFonts w:hint="eastAsia" w:ascii="宋体" w:hAnsi="宋体" w:cs="宋体"/>
          <w:color w:val="auto"/>
          <w:sz w:val="24"/>
          <w:highlight w:val="none"/>
          <w:lang w:val="en-US" w:eastAsia="zh-CN"/>
        </w:rPr>
        <w:t xml:space="preserve">48</w:t>
      </w:r>
      <w:r>
        <w:rPr>
          <w:rFonts w:hint="eastAsia" w:ascii="宋体" w:hAnsi="宋体" w:eastAsia="宋体" w:cs="宋体"/>
          <w:color w:val="auto"/>
          <w:sz w:val="24"/>
          <w:highlight w:val="none"/>
        </w:rPr>
        <w:t xml:space="preserve">%一次性向代理机构支付。</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5、磋商文件的约束力</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供应商一旦参加本项目采购活动，即被认为接受了本磋商文件的规定和约束。</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74" w:name="_Toc120614215"/>
      <w:r/>
      <w:bookmarkStart w:id="75" w:name="_Toc20823281"/>
      <w:r/>
      <w:bookmarkStart w:id="76" w:name="_Toc16938525"/>
      <w:r>
        <w:rPr>
          <w:rFonts w:hint="eastAsia" w:ascii="宋体" w:hAnsi="宋体" w:eastAsia="宋体" w:cs="宋体"/>
          <w:b/>
          <w:bCs/>
          <w:color w:val="auto"/>
          <w:sz w:val="24"/>
          <w:highlight w:val="none"/>
        </w:rPr>
        <w:t xml:space="preserve">二、</w:t>
      </w:r>
      <w:bookmarkEnd w:id="74"/>
      <w:r/>
      <w:bookmarkEnd w:id="75"/>
      <w:r/>
      <w:bookmarkEnd w:id="76"/>
      <w:r>
        <w:rPr>
          <w:rFonts w:hint="eastAsia" w:ascii="宋体" w:hAnsi="宋体" w:eastAsia="宋体" w:cs="宋体"/>
          <w:b/>
          <w:bCs/>
          <w:color w:val="auto"/>
          <w:sz w:val="24"/>
          <w:highlight w:val="none"/>
        </w:rPr>
        <w:t xml:space="preserve">磋商文件</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77" w:name="_Toc16938526"/>
      <w:r/>
      <w:bookmarkStart w:id="78" w:name="_Toc513029210"/>
      <w:r/>
      <w:bookmarkStart w:id="79" w:name="_Toc20823282"/>
      <w:r>
        <w:rPr>
          <w:rFonts w:hint="eastAsia" w:ascii="宋体" w:hAnsi="宋体" w:eastAsia="宋体" w:cs="宋体"/>
          <w:color w:val="auto"/>
          <w:sz w:val="24"/>
          <w:highlight w:val="none"/>
        </w:rPr>
        <w:t xml:space="preserve">6、磋商文件构成</w:t>
      </w:r>
      <w:bookmarkEnd w:id="77"/>
      <w:r/>
      <w:bookmarkEnd w:id="78"/>
      <w:r/>
      <w:bookmarkEnd w:id="7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磋商文件由以下部分组成：</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（1）竞争性磋商采购公告</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（2）供应商须知</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（5）评审方法与评审标准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（6）响应文件格式</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7、磋商文件的澄清</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任何要求对磋商文件进行澄清的供应商，应在响应文件提交截止时间5日前按磋商公告中的通讯地址，以书面形式通知代理机构。</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80" w:name="_Toc513029212"/>
      <w:r/>
      <w:bookmarkStart w:id="81" w:name="_Toc20823284"/>
      <w:r/>
      <w:bookmarkStart w:id="82" w:name="_Toc462564071"/>
      <w:r/>
      <w:bookmarkStart w:id="83" w:name="_Toc16938528"/>
      <w:r>
        <w:rPr>
          <w:rFonts w:hint="eastAsia" w:ascii="宋体" w:hAnsi="宋体" w:eastAsia="宋体" w:cs="宋体"/>
          <w:color w:val="auto"/>
          <w:sz w:val="24"/>
          <w:highlight w:val="none"/>
        </w:rPr>
        <w:t xml:space="preserve">8、磋商文件的澄清和修改</w:t>
      </w:r>
      <w:bookmarkEnd w:id="80"/>
      <w:r/>
      <w:bookmarkEnd w:id="81"/>
      <w:r/>
      <w:bookmarkEnd w:id="82"/>
      <w:r/>
      <w:bookmarkEnd w:id="8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代理机构或采购人可以视采购项目的具体情况，组织供应商进行现场考察或召开磋商前答疑会，但不单独或分别组织只有一个供应商参加的现场考察和答疑会。</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84" w:name="_Hlt26670348"/>
      <w:r/>
      <w:bookmarkEnd w:id="84"/>
      <w:r/>
      <w:bookmarkStart w:id="85" w:name="_Hlt26670345"/>
      <w:r/>
      <w:bookmarkEnd w:id="85"/>
      <w:r/>
      <w:bookmarkStart w:id="86" w:name="_Hlt26954828"/>
      <w:r/>
      <w:bookmarkEnd w:id="86"/>
      <w:r/>
      <w:bookmarkStart w:id="87" w:name="_Hlt26954832"/>
      <w:r/>
      <w:bookmarkEnd w:id="87"/>
      <w:r/>
      <w:bookmarkStart w:id="88" w:name="_Hlt26668969"/>
      <w:r/>
      <w:bookmarkEnd w:id="88"/>
      <w:r/>
      <w:bookmarkStart w:id="89" w:name="_Hlt26954830"/>
      <w:r/>
      <w:bookmarkEnd w:id="89"/>
      <w:r/>
      <w:bookmarkStart w:id="90" w:name="_Hlt26670354"/>
      <w:r/>
      <w:bookmarkEnd w:id="90"/>
      <w:r/>
      <w:bookmarkStart w:id="91" w:name="_Toc513029213"/>
      <w:r/>
      <w:bookmarkStart w:id="92" w:name="_Toc14577351"/>
      <w:r/>
      <w:bookmarkStart w:id="93" w:name="_Toc462564072"/>
      <w:r/>
      <w:bookmarkStart w:id="94" w:name="_Toc61149553"/>
      <w:r>
        <w:rPr>
          <w:rFonts w:hint="eastAsia" w:ascii="宋体" w:hAnsi="宋体" w:eastAsia="宋体" w:cs="宋体"/>
          <w:b/>
          <w:bCs/>
          <w:color w:val="auto"/>
          <w:sz w:val="24"/>
          <w:highlight w:val="none"/>
        </w:rPr>
        <w:t xml:space="preserve">三、响应文件的编制</w:t>
      </w:r>
      <w:bookmarkEnd w:id="91"/>
      <w:r/>
      <w:bookmarkEnd w:id="92"/>
      <w:r/>
      <w:bookmarkEnd w:id="93"/>
      <w:r/>
      <w:bookmarkEnd w:id="94"/>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95" w:name="_Toc16938530"/>
      <w:r/>
      <w:bookmarkStart w:id="96" w:name="_Toc462564073"/>
      <w:r/>
      <w:bookmarkStart w:id="97" w:name="_Toc513029214"/>
      <w:r/>
      <w:bookmarkStart w:id="98" w:name="_Toc20823286"/>
      <w:r>
        <w:rPr>
          <w:rFonts w:hint="eastAsia" w:ascii="宋体" w:hAnsi="宋体" w:eastAsia="宋体" w:cs="宋体"/>
          <w:color w:val="auto"/>
          <w:sz w:val="24"/>
          <w:highlight w:val="none"/>
        </w:rPr>
        <w:t xml:space="preserve">9、响应文件的语言及度量衡单位</w:t>
      </w:r>
      <w:bookmarkEnd w:id="95"/>
      <w:r/>
      <w:bookmarkEnd w:id="96"/>
      <w:r/>
      <w:bookmarkEnd w:id="97"/>
      <w:r/>
      <w:bookmarkEnd w:id="98"/>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供应商提交的响应文件以及供应商与代理机构就有关磋商的所有来往通知、函件和文件均应使用简体中文。</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除技术性能另有规定外，响应文件所使用的度量衡单位，均须采用国家法定计量单位。</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99" w:name="_Toc16938531"/>
      <w:r/>
      <w:bookmarkStart w:id="100" w:name="_Toc513029215"/>
      <w:r/>
      <w:bookmarkStart w:id="101" w:name="_Toc462564074"/>
      <w:r/>
      <w:bookmarkStart w:id="102" w:name="_Toc20823287"/>
      <w:r>
        <w:rPr>
          <w:rFonts w:hint="eastAsia" w:ascii="宋体" w:hAnsi="宋体" w:eastAsia="宋体" w:cs="宋体"/>
          <w:color w:val="auto"/>
          <w:sz w:val="24"/>
          <w:highlight w:val="none"/>
        </w:rPr>
        <w:t xml:space="preserve">10、响应文件构成</w:t>
      </w:r>
      <w:bookmarkEnd w:id="99"/>
      <w:r/>
      <w:bookmarkEnd w:id="100"/>
      <w:r/>
      <w:bookmarkEnd w:id="101"/>
      <w:r/>
      <w:bookmarkEnd w:id="102"/>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如标书制作工具中格式和内容与“江苏政府采购网”发布的磋商文件不一致，请以“江苏政府采购网”发布的磋商文件为准。</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03" w:name="_Toc14577357"/>
      <w:r/>
      <w:bookmarkStart w:id="104" w:name="_Toc513029216"/>
      <w:r/>
      <w:bookmarkStart w:id="105" w:name="_Toc49090509"/>
      <w:r/>
      <w:bookmarkStart w:id="106" w:name="_Toc49090508"/>
      <w:r/>
      <w:bookmarkStart w:id="107" w:name="_Toc14577354"/>
      <w:r/>
      <w:bookmarkStart w:id="108" w:name="_Toc49090507"/>
      <w:r/>
      <w:bookmarkStart w:id="109" w:name="_Toc513029219"/>
      <w:r>
        <w:rPr>
          <w:rFonts w:hint="eastAsia" w:ascii="宋体" w:hAnsi="宋体" w:eastAsia="宋体" w:cs="宋体"/>
          <w:color w:val="auto"/>
          <w:sz w:val="24"/>
          <w:highlight w:val="none"/>
        </w:rPr>
        <w:t xml:space="preserve">11、证明磋商响应标的符合磋商文件规定的文件</w:t>
      </w:r>
      <w:bookmarkEnd w:id="103"/>
      <w:r/>
      <w:bookmarkEnd w:id="104"/>
      <w:r/>
      <w:bookmarkEnd w:id="105"/>
      <w:r/>
      <w:bookmarkEnd w:id="106"/>
      <w:r/>
      <w:bookmarkEnd w:id="107"/>
      <w:r/>
      <w:bookmarkEnd w:id="108"/>
      <w:r/>
      <w:bookmarkEnd w:id="10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供应商应按照磋商文件要求提交证明文件，证明其及磋商响应标的符合磋商文件规定。</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磋商文件对证明文件无明确形式要求的，证明文件可以以文字资料、图纸和数据等形式提交。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12、分项报价表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供应商应按照磋商文件规定格式填报分项报价表。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磋商货币。响应文件中的单价和总价无特殊规定的采用人民币报价，以元为单位标注。磋商文件中另有规定的按规定执行。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13、技术要求响应及偏离表、商务要求响应及偏离表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供应商需对磋商文件中的技术要求与商务要求逐项作出响应或偏离，并说明原因。</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供应商可在响应文件中提供认为需要的其他技术文件或说明。</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14、服务承诺、培训计划、人员安排及其他</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供应商需根据磋商文件要求提供有关售后服务的管理制度，售后服务机构的分布情况，售后服务人员的数量、素质、技术水平及售后服务的反应能力等。</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供应商需根据磋商文件要求提供培训计划。</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供应商需根据磋商文件要求提供磋商响应标的的主要组成部分、功能设计、实现思路及关键技术等。</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10" w:name="_Toc49090510"/>
      <w:r>
        <w:rPr>
          <w:rFonts w:hint="eastAsia" w:ascii="宋体" w:hAnsi="宋体" w:eastAsia="宋体" w:cs="宋体"/>
          <w:color w:val="auto"/>
          <w:sz w:val="24"/>
          <w:highlight w:val="none"/>
        </w:rPr>
        <w:t xml:space="preserve">15、磋商响应函</w:t>
      </w:r>
      <w:bookmarkEnd w:id="110"/>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供应商应按照磋商文件中提供的格式完整、正确填写磋商响应函。</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11" w:name="_Toc49090511"/>
      <w:r/>
      <w:bookmarkStart w:id="112" w:name="_Toc14577360"/>
      <w:r>
        <w:rPr>
          <w:rFonts w:hint="eastAsia" w:ascii="宋体" w:hAnsi="宋体" w:eastAsia="宋体" w:cs="宋体"/>
          <w:color w:val="auto"/>
          <w:sz w:val="24"/>
          <w:highlight w:val="none"/>
        </w:rPr>
        <w:t xml:space="preserve">16、磋商有效期</w:t>
      </w:r>
      <w:bookmarkEnd w:id="111"/>
      <w:r/>
      <w:bookmarkEnd w:id="112"/>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磋商有效期为代理机构规定的提交响应文件截止之日后</w:t>
      </w:r>
      <w:r>
        <w:rPr>
          <w:rFonts w:hint="eastAsia" w:ascii="宋体" w:hAnsi="宋体" w:eastAsia="宋体" w:cs="宋体"/>
          <w:color w:val="auto"/>
          <w:sz w:val="24"/>
          <w:highlight w:val="none"/>
          <w:u w:val="single"/>
        </w:rPr>
        <w:t xml:space="preserve">六十（60）</w:t>
      </w:r>
      <w:r>
        <w:rPr>
          <w:rFonts w:hint="eastAsia" w:ascii="宋体" w:hAnsi="宋体" w:eastAsia="宋体" w:cs="宋体"/>
          <w:color w:val="auto"/>
          <w:sz w:val="24"/>
          <w:highlight w:val="none"/>
        </w:rPr>
        <w:t xml:space="preserve">天。磋商有效期比规定短的将被视为非实质性响应磋商文件而予以拒绝。</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17、磋商有效期的延长</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113" w:name="_Hlt26954854"/>
      <w:r/>
      <w:bookmarkEnd w:id="113"/>
      <w:r/>
      <w:bookmarkStart w:id="114" w:name="_Hlt26668983"/>
      <w:r/>
      <w:bookmarkEnd w:id="114"/>
      <w:r/>
      <w:bookmarkStart w:id="115" w:name="_Hlt26954852"/>
      <w:r/>
      <w:bookmarkEnd w:id="115"/>
      <w:r/>
      <w:bookmarkStart w:id="116" w:name="_Hlt26954842"/>
      <w:r/>
      <w:bookmarkEnd w:id="116"/>
      <w:r/>
      <w:bookmarkStart w:id="117" w:name="_Hlt26954734"/>
      <w:r/>
      <w:bookmarkEnd w:id="117"/>
      <w:r/>
      <w:bookmarkStart w:id="118" w:name="_Hlt26670482"/>
      <w:r/>
      <w:bookmarkEnd w:id="118"/>
      <w:r/>
      <w:bookmarkStart w:id="119" w:name="_Hlt26954834"/>
      <w:r/>
      <w:bookmarkEnd w:id="119"/>
      <w:r/>
      <w:bookmarkStart w:id="120" w:name="_Hlt26670489"/>
      <w:r/>
      <w:bookmarkEnd w:id="120"/>
      <w:r/>
      <w:bookmarkStart w:id="121" w:name="_Hlt26670486"/>
      <w:r/>
      <w:bookmarkEnd w:id="121"/>
      <w:r/>
      <w:bookmarkStart w:id="122" w:name="_Hlt26670493"/>
      <w:r/>
      <w:bookmarkEnd w:id="122"/>
      <w:r/>
      <w:bookmarkStart w:id="123" w:name="_Hlt26954836"/>
      <w:r/>
      <w:bookmarkEnd w:id="123"/>
      <w:r/>
      <w:bookmarkStart w:id="124" w:name="_Hlt26670403"/>
      <w:r/>
      <w:bookmarkEnd w:id="124"/>
      <w:r/>
      <w:bookmarkStart w:id="125" w:name="_Hlt26954846"/>
      <w:r/>
      <w:bookmarkEnd w:id="125"/>
      <w:r/>
      <w:bookmarkStart w:id="126" w:name="_Hlt26954749"/>
      <w:r/>
      <w:bookmarkEnd w:id="126"/>
      <w:r/>
      <w:bookmarkStart w:id="127" w:name="_Hlt26954850"/>
      <w:r/>
      <w:bookmarkEnd w:id="127"/>
      <w:r/>
      <w:bookmarkStart w:id="128" w:name="_Hlt26954731"/>
      <w:r/>
      <w:bookmarkEnd w:id="128"/>
      <w:r/>
      <w:bookmarkStart w:id="129" w:name="_Hlt26670357"/>
      <w:r/>
      <w:bookmarkEnd w:id="129"/>
      <w:r/>
      <w:bookmarkStart w:id="130" w:name="_Hlt26954739"/>
      <w:r/>
      <w:bookmarkEnd w:id="130"/>
      <w:r/>
      <w:bookmarkStart w:id="131" w:name="_Hlt26954848"/>
      <w:r/>
      <w:bookmarkEnd w:id="131"/>
      <w:r/>
      <w:bookmarkStart w:id="132" w:name="_Hlt26954844"/>
      <w:r/>
      <w:bookmarkEnd w:id="132"/>
      <w:r/>
      <w:bookmarkStart w:id="133" w:name="_Hlt26670425"/>
      <w:r/>
      <w:bookmarkEnd w:id="133"/>
      <w:r/>
      <w:bookmarkStart w:id="134" w:name="_Toc120614217"/>
      <w:r/>
      <w:bookmarkStart w:id="135" w:name="_Toc16938540"/>
      <w:r/>
      <w:bookmarkStart w:id="136" w:name="_Toc20823296"/>
      <w:r/>
      <w:bookmarkStart w:id="137" w:name="_Toc513029224"/>
      <w:r/>
      <w:bookmarkStart w:id="138" w:name="_Toc61149562"/>
      <w:r/>
      <w:bookmarkStart w:id="139" w:name="_Toc14577362"/>
      <w:r>
        <w:rPr>
          <w:rFonts w:hint="eastAsia" w:ascii="宋体" w:hAnsi="宋体" w:eastAsia="宋体" w:cs="宋体"/>
          <w:b/>
          <w:bCs/>
          <w:color w:val="auto"/>
          <w:sz w:val="24"/>
          <w:highlight w:val="none"/>
        </w:rPr>
        <w:t xml:space="preserve">四、响应文件的递交</w:t>
      </w:r>
      <w:bookmarkEnd w:id="134"/>
      <w:r/>
      <w:bookmarkEnd w:id="135"/>
      <w:r/>
      <w:bookmarkEnd w:id="136"/>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40" w:name="_Toc462564084"/>
      <w:r/>
      <w:bookmarkStart w:id="141" w:name="_Toc513029225"/>
      <w:r/>
      <w:bookmarkStart w:id="142" w:name="_Toc20823297"/>
      <w:r/>
      <w:bookmarkStart w:id="143" w:name="_Toc16938541"/>
      <w:r>
        <w:rPr>
          <w:rFonts w:hint="eastAsia" w:ascii="宋体" w:hAnsi="宋体" w:eastAsia="宋体" w:cs="宋体"/>
          <w:color w:val="auto"/>
          <w:sz w:val="24"/>
          <w:highlight w:val="none"/>
        </w:rPr>
        <w:t xml:space="preserve">18、电子磋商</w:t>
      </w:r>
      <w:bookmarkEnd w:id="140"/>
      <w:r/>
      <w:bookmarkEnd w:id="141"/>
      <w:r/>
      <w:bookmarkEnd w:id="142"/>
      <w:r/>
      <w:bookmarkEnd w:id="143"/>
      <w:r>
        <w:rPr>
          <w:rFonts w:hint="eastAsia" w:ascii="宋体" w:hAnsi="宋体" w:eastAsia="宋体" w:cs="宋体"/>
          <w:color w:val="auto"/>
          <w:sz w:val="24"/>
          <w:highlight w:val="none"/>
        </w:rPr>
        <w:t xml:space="preserve">响应文件的递交</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供应商应当按照《操作手册》规定，在提交响应文件截止时间前制作并上传电子响应文件。</w:t>
      </w:r>
      <w:bookmarkStart w:id="144" w:name="_Toc20823298"/>
      <w:r/>
      <w:bookmarkEnd w:id="144"/>
      <w:r/>
      <w:bookmarkStart w:id="145" w:name="_Toc16938542"/>
      <w:r/>
      <w:bookmarkEnd w:id="145"/>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19、提交响应文件截止时间</w:t>
      </w:r>
      <w:r/>
    </w:p>
    <w:p>
      <w:pPr>
        <w:pStyle w:val="725"/>
        <w:ind w:firstLine="480"/>
        <w:jc w:val="both"/>
        <w:spacing w:before="0" w:beforeAutospacing="0" w:after="0" w:afterAutospacing="0" w:line="360" w:lineRule="auto"/>
        <w:widowControl w:val="off"/>
        <w:rPr>
          <w:rFonts w:hint="eastAsia" w:ascii="宋体" w:hAnsi="宋体" w:eastAsia="宋体" w:cs="宋体"/>
          <w:i/>
          <w:iCs/>
          <w:color w:val="auto"/>
          <w:highlight w:val="none"/>
        </w:rPr>
      </w:pPr>
      <w:r>
        <w:rPr>
          <w:rFonts w:hint="eastAsia" w:ascii="宋体" w:hAnsi="宋体" w:eastAsia="宋体" w:cs="宋体"/>
          <w:color w:val="auto"/>
          <w:highlight w:val="none"/>
        </w:rPr>
        <w:t xml:space="preserve">19.1 </w:t>
      </w:r>
      <w:r>
        <w:rPr>
          <w:rFonts w:hint="eastAsia" w:ascii="宋体" w:hAnsi="宋体" w:eastAsia="宋体" w:cs="宋体"/>
          <w:i/>
          <w:iCs/>
          <w:color w:val="auto"/>
          <w:highlight w:val="none"/>
          <w:u w:val="single"/>
        </w:rPr>
        <w:t xml:space="preserve">供应商上传电子响应文件的时间不得迟于磋商公告中规定的提交响应文件截止时间</w:t>
      </w:r>
      <w:r>
        <w:rPr>
          <w:rFonts w:hint="eastAsia" w:ascii="宋体" w:hAnsi="宋体" w:eastAsia="宋体" w:cs="宋体"/>
          <w:color w:val="auto"/>
          <w:highlight w:val="none"/>
          <w:u w:val="single"/>
        </w:rPr>
        <w:t xml:space="preserve">。</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46" w:name="_Toc513029227"/>
      <w:r/>
      <w:bookmarkStart w:id="147" w:name="_Toc20823299"/>
      <w:r/>
      <w:bookmarkStart w:id="148" w:name="_Toc16938543"/>
      <w:r>
        <w:rPr>
          <w:rFonts w:hint="eastAsia" w:ascii="宋体" w:hAnsi="宋体" w:eastAsia="宋体" w:cs="宋体"/>
          <w:color w:val="auto"/>
          <w:highlight w:val="none"/>
        </w:rPr>
        <w:t xml:space="preserve">20、响应文件</w:t>
      </w:r>
      <w:bookmarkEnd w:id="146"/>
      <w:r/>
      <w:bookmarkEnd w:id="147"/>
      <w:r/>
      <w:bookmarkEnd w:id="148"/>
      <w:r>
        <w:rPr>
          <w:rFonts w:hint="eastAsia" w:ascii="宋体" w:hAnsi="宋体" w:eastAsia="宋体" w:cs="宋体"/>
          <w:color w:val="auto"/>
          <w:highlight w:val="none"/>
        </w:rPr>
        <w:t xml:space="preserve">的拒收</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 代理机构拒绝接收在其规定的提交响应文件截止时间后上传的任何电子响应文件。</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49" w:name="_Toc16938544"/>
      <w:r/>
      <w:bookmarkStart w:id="150" w:name="_Toc513029228"/>
      <w:r/>
      <w:bookmarkStart w:id="151" w:name="_Toc20823300"/>
      <w:r>
        <w:rPr>
          <w:rFonts w:hint="eastAsia" w:ascii="宋体" w:hAnsi="宋体" w:eastAsia="宋体" w:cs="宋体"/>
          <w:color w:val="auto"/>
          <w:highlight w:val="none"/>
        </w:rPr>
        <w:t xml:space="preserve">21、响应文件的撤回和修改</w:t>
      </w:r>
      <w:bookmarkEnd w:id="149"/>
      <w:r/>
      <w:bookmarkEnd w:id="150"/>
      <w:r/>
      <w:bookmarkEnd w:id="151"/>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 响应文件的撤回</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21.1.1电子响应文件的撤回</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 响应文件的修改</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pStyle w:val="725"/>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2" w:name="_Toc16938545"/>
      <w:r/>
      <w:bookmarkStart w:id="153" w:name="_Toc120614218"/>
      <w:r/>
      <w:bookmarkStart w:id="154" w:name="_Toc20823301"/>
      <w:r/>
      <w:bookmarkStart w:id="155" w:name="_Toc513029229"/>
      <w:r>
        <w:rPr>
          <w:rFonts w:hint="eastAsia" w:ascii="宋体" w:hAnsi="宋体" w:eastAsia="宋体" w:cs="宋体"/>
          <w:b/>
          <w:bCs/>
          <w:color w:val="auto"/>
          <w:highlight w:val="none"/>
        </w:rPr>
        <w:t xml:space="preserve">五、响应文件的解密与评审</w:t>
      </w:r>
      <w:bookmarkEnd w:id="152"/>
      <w:r/>
      <w:bookmarkEnd w:id="153"/>
      <w:r/>
      <w:bookmarkEnd w:id="154"/>
      <w:r/>
      <w:bookmarkEnd w:id="155"/>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22、响应文件解密</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 供应商应当按照《操作手册》规定，在苏采云系统规定的时间内对磋商响应文件进行解密。</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23、磋商小组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 代理机构将组织磋商小组对响应文件进行评审。磋商小组由采购人代表和有关技术、经济等方面的专家组成，且人员构成符合政府采购有关规定。</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 磋商小组独立工作，负责评审所有响应文件并确定成交候选人。</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24、评审过程的保密与公正</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 磋商小组、采购人和代理机构工作人员、相关监督人员等与评审工作有关的人员，对评审情况以及在评审过程中获悉的国家秘密、商业秘密负有保密责任。</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 在评审过程中，供应商不得以任何行为影响磋商评审过程，否则其响应文件将被作为无效响应文件。</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 在项目评审期间，代理机构将设专门人员与供应商联系。</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24.4 代理机构和磋商小组不向未成交的供应商解释未成交原因，也不公布评审过程中的相关细节。</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25、评审过程中的的澄清</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 接到磋商小组澄清、说明和更正要求的供应商如未按规定做出澄清、说明和更正，其风险由供应商自行承担。</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26、对响应文件的审查</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 响应文件审查分为资格审查和符合性审查。</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26.1.1资格审查：由磋商小组依据法律法规和磋商文件的规定，对响应文件中的资格证明文件进行审查，以确定供应商是否具备参加磋商的资格。</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26.1.2符合性审查：依据磋商文件的规定，由磋商小组从响应文件的有效性、完整性和对磋商文件的响应程度进行审查，以确定是否对磋商文件的实质性要求作出响应。</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报价要求：只能有一个响应文件及有效报价（采购文件要求提交备选响应的除外）</w:t>
      </w:r>
      <w:r/>
    </w:p>
    <w:p>
      <w:pPr>
        <w:pStyle w:val="725"/>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政府采购异常低价审查：</w:t>
      </w:r>
      <w:r/>
    </w:p>
    <w:p>
      <w:pPr>
        <w:pStyle w:val="725"/>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（一）评审过程中出现下列情形之一的，评审委员会应当启动异常低价投标（响应）审查程序：</w:t>
      </w:r>
      <w:r/>
    </w:p>
    <w:p>
      <w:pPr>
        <w:pStyle w:val="725"/>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1.投标（响应）报价低于采购项目预算50%的，即投标（响应）报价&lt;采购项目预算×50%；</w:t>
      </w:r>
      <w:r/>
    </w:p>
    <w:p>
      <w:pPr>
        <w:pStyle w:val="725"/>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2.投标（响应）报价低于采购项目最高限价45%的，即投标（响应）报价&lt;采购项目最高限价×45%；</w:t>
      </w:r>
      <w:r/>
    </w:p>
    <w:p>
      <w:pPr>
        <w:pStyle w:val="725"/>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3.评审委员会认定的供应商报价过低、有可能影响产品质量或者不能诚信履约的其他情形。</w:t>
      </w:r>
      <w:r/>
    </w:p>
    <w:p>
      <w:pPr>
        <w:pStyle w:val="725"/>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ff0000"/>
          <w:highlight w:val="none"/>
          <w:lang w:val="en-US" w:eastAsia="zh-CN"/>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商务技术要求：重大偏离或保留是指供应商响应文件与采购文件规定的主要技术指标或重要商务条款或除上述以外的多项指标要求存在负偏离，或者在实质上与采购文件不一致，而且限制了合同中采购人的权利或供应商的义务，保留或给予纠正这些偏离的机会将会对其他实质性响应要求的供应商的竞争地位产生不公正的影响。重大偏离的认定需经过评审委员会2/3及以上成员的认定。</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 在详细评审之前，磋商小组将首先审查每份响应文件是否实质性响应了磋商文件的要求。实质性响应的响应文件应该是与磋商文件要求的条款、条件和规格相符，没有重大偏离或保留。</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 未实质性响应磋商文件的情形</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i/>
          <w:iCs/>
          <w:color w:val="auto"/>
          <w:highlight w:val="none"/>
          <w:u w:val="single"/>
        </w:rPr>
        <w:t xml:space="preserve">（本磋商文件中斜体且有下划线部分为实质性要求和条件）。</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725"/>
        <w:ind w:firstLine="480"/>
        <w:jc w:val="both"/>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26.3.9</w:t>
      </w:r>
      <w:r>
        <w:rPr>
          <w:rFonts w:hint="eastAsia" w:ascii="宋体" w:hAnsi="宋体" w:eastAsia="宋体" w:cs="宋体"/>
          <w:b/>
          <w:bCs/>
          <w:i/>
          <w:iCs/>
          <w:color w:val="auto"/>
          <w:highlight w:val="yellow"/>
          <w:u w:val="singl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26.3.10响应文件未按照磋商文件要求加盖CA电子公章的。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 未实质性响应磋商文件的响应文件按无效响应处理。</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 如果响应文件实质上没有响应磋商文件的要求，磋商小组将予以拒绝，供应商不得通过修改或撤销不合要求的偏离或保留而使其成为实质性响应的文件。</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 供应商在项目评审全过程中应保持通讯畅通，并安排专人与代理机构及磋商小组联系。</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27、磋商程序及评审方法和评审标准</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 磋商程序</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本项目各分项最终结算价按照磋商首次报价与最后报价同比例变动。</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 评审方法和评审标准</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见本磋商文件第五章“评审方法与评审标准”规定。</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 采购活动终止的情况</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725"/>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6" w:name="_Toc120614219"/>
      <w:r>
        <w:rPr>
          <w:rFonts w:hint="eastAsia" w:ascii="宋体" w:hAnsi="宋体" w:eastAsia="宋体" w:cs="宋体"/>
          <w:b/>
          <w:bCs/>
          <w:color w:val="auto"/>
          <w:highlight w:val="none"/>
        </w:rPr>
        <w:t xml:space="preserve">六、</w:t>
      </w:r>
      <w:bookmarkEnd w:id="156"/>
      <w:r>
        <w:rPr>
          <w:rFonts w:hint="eastAsia" w:ascii="宋体" w:hAnsi="宋体" w:eastAsia="宋体" w:cs="宋体"/>
          <w:b/>
          <w:bCs/>
          <w:color w:val="auto"/>
          <w:highlight w:val="none"/>
        </w:rPr>
        <w:t xml:space="preserve">成交</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28、确定成交单位</w:t>
      </w:r>
      <w:r/>
    </w:p>
    <w:p>
      <w:pPr>
        <w:pStyle w:val="72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采购人从评审报告提出的成交候选供应商中，按照排序由高到低的原则确定成交供应商。采购人确定成交供应商后，代理机构将在“江苏政府采购网”发布成交结果公告，公告期限为1个工作日。</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 若有充分证据证明，成交供应商出现下列情况之一的，一经查实，将被取消成交资格：</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28.3.2与评审专家、采购人、其他供应商或者代理机构工作人员恶意串通的。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28.3.3向评审专家、采购人或代理机构工作人员行贿或者提供其他不正当利益的。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7" w:name="_Toc200451960"/>
      <w:r>
        <w:rPr>
          <w:rFonts w:hint="eastAsia" w:ascii="宋体" w:hAnsi="宋体" w:eastAsia="宋体" w:cs="宋体"/>
          <w:color w:val="auto"/>
          <w:highlight w:val="none"/>
        </w:rPr>
        <w:t xml:space="preserve">29、质疑处理</w:t>
      </w:r>
      <w:bookmarkEnd w:id="157"/>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25"/>
        <w:ind w:firstLine="482"/>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29.2.3对成交结果提出质疑的，为成交结果公告期限届满之日。</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 质疑函应当使用范本（详见江苏政府采购网）。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供应商提出质疑应当提交质疑函和必要的证明材料。应当包括下列内容：</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（1）供应商的姓名或者名称、地址、邮编、联系人及联系电话；</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（2）质疑项目的名称、编号；</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（3）具体、明确的质疑事项和与质疑事项相关的请求；</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（4）事实依据；</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（5）必要的法律依据；</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（6）提出质疑的日期；</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（7）必要的证明材料；</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（8）采购文件(交易文件)下载回执函；</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（9）营业执照复印件及授权委托书原件、法定代表人（单位负责人）身份证复印件、委托代理人身份证复印件。</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供应商为自然人的，应当由本人签字；供应商为法人或者其他组织的，应当由法定代表人、主要负责人，或者其委托代理人签字或者盖章，并加盖单位公章。</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供应商（含潜在供应商）对与本项目有关的所有询问、质疑均请向采购人提出，由采购人负责答复。</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采购人及代理机构只接收以纸质原件形式送达的质疑。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采购人质疑接收人及联系方式见本磋商文件第一章。</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29.5.1内容不符合《政府采购质疑和投诉办法》第十二条规定的质疑。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29.5.2超出政府采购法定期限的质疑。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29.5.3以传真、电子邮件等方式递交的非原件形式的质疑。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29.5.4未参加磋商活动的供应商或在磋商活动中自身权益未受到损害的供应商所提出的质疑。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30、成交通知书</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p>
    <w:p>
      <w:pPr>
        <w:pStyle w:val="725"/>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8" w:name="_Toc20823308"/>
      <w:r/>
      <w:bookmarkStart w:id="159" w:name="_Toc513029236"/>
      <w:r/>
      <w:bookmarkStart w:id="160" w:name="_Toc120614220"/>
      <w:r/>
      <w:bookmarkStart w:id="161" w:name="_Toc16938552"/>
      <w:r>
        <w:rPr>
          <w:rFonts w:hint="eastAsia" w:ascii="宋体" w:hAnsi="宋体" w:eastAsia="宋体" w:cs="宋体"/>
          <w:b/>
          <w:bCs/>
          <w:color w:val="auto"/>
          <w:highlight w:val="none"/>
        </w:rPr>
        <w:t xml:space="preserve">七、授予合同</w:t>
      </w:r>
      <w:bookmarkEnd w:id="158"/>
      <w:r/>
      <w:bookmarkEnd w:id="159"/>
      <w:r/>
      <w:bookmarkEnd w:id="160"/>
      <w:r/>
      <w:bookmarkEnd w:id="161"/>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31、签订合同</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31.l 成交供应商应当在成交通知书发出之日起三十日内，按照磋商文件确定的事项与采购人签订政府采购合同。</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31.2自政府采购合同签订之日起2个工作日内，将政府采购合同在指定的媒体上公告。</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31.3 磋商文件、成交供应商的响应文件及磋商过程中有关澄清、承诺文件均应作为合同附件。</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31.4 签订合同后，</w:t>
      </w:r>
      <w:r>
        <w:rPr>
          <w:rFonts w:hint="eastAsia" w:ascii="宋体" w:hAnsi="宋体" w:eastAsia="宋体" w:cs="宋体"/>
          <w:i/>
          <w:iCs/>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5"/>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62" w:name="_Toc20823314"/>
      <w:r/>
      <w:bookmarkStart w:id="163" w:name="_Toc479757207"/>
      <w:r/>
      <w:bookmarkStart w:id="164" w:name="_Toc16938558"/>
      <w:r/>
      <w:bookmarkStart w:id="165" w:name="_Toc120614221"/>
      <w:r/>
      <w:bookmarkStart w:id="166" w:name="_Toc513029242"/>
      <w:r>
        <w:rPr>
          <w:rFonts w:hint="eastAsia" w:ascii="宋体" w:hAnsi="宋体" w:eastAsia="宋体" w:cs="宋体"/>
          <w:color w:val="auto"/>
          <w:highlight w:val="none"/>
        </w:rPr>
        <w:t xml:space="preserve">33、政府采购履约资金扶持政策</w:t>
      </w:r>
      <w:bookmarkEnd w:id="162"/>
      <w:r/>
      <w:bookmarkEnd w:id="163"/>
      <w:r/>
      <w:bookmarkEnd w:id="164"/>
      <w:r/>
      <w:bookmarkEnd w:id="165"/>
      <w:r/>
      <w:bookmarkEnd w:id="166"/>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成交供应商可凭政府采购合同办理融资贷款，详情请见江苏政府采购网“政采贷”专栏。</w:t>
      </w:r>
      <w:bookmarkEnd w:id="137"/>
      <w:r/>
      <w:bookmarkEnd w:id="138"/>
      <w:r/>
      <w:bookmarkEnd w:id="139"/>
      <w:r/>
      <w:r/>
    </w:p>
    <w:p>
      <w:pPr>
        <w:pStyle w:val="725"/>
        <w:ind w:firstLine="482"/>
        <w:jc w:val="both"/>
        <w:keepLines/>
        <w:keepNext/>
        <w:spacing w:before="0" w:beforeAutospacing="0" w:after="0" w:afterAutospacing="0" w:line="360" w:lineRule="auto"/>
        <w:widowControl w:val="off"/>
        <w:rPr>
          <w:rFonts w:hint="eastAsia" w:ascii="宋体" w:hAnsi="宋体" w:eastAsia="宋体" w:cs="宋体"/>
          <w:b/>
          <w:bCs/>
          <w:color w:val="auto"/>
          <w:highlight w:val="none"/>
        </w:rPr>
      </w:pPr>
      <w:r/>
      <w:bookmarkStart w:id="167" w:name="_Toc20823309"/>
      <w:r/>
      <w:bookmarkStart w:id="168" w:name="_Toc16938553"/>
      <w:r/>
      <w:bookmarkStart w:id="169" w:name="_Toc513029237"/>
      <w:r>
        <w:rPr>
          <w:rFonts w:hint="eastAsia" w:ascii="宋体" w:hAnsi="宋体" w:eastAsia="宋体" w:cs="宋体"/>
          <w:b/>
          <w:bCs/>
          <w:color w:val="auto"/>
          <w:highlight w:val="none"/>
        </w:rPr>
        <w:t xml:space="preserve">八、政策功能</w:t>
      </w:r>
      <w:bookmarkEnd w:id="167"/>
      <w:r/>
      <w:bookmarkEnd w:id="168"/>
      <w:r/>
      <w:bookmarkEnd w:id="16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34、支持中小企业发展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 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35.3 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704"/>
        <w:ind w:firstLine="480"/>
        <w:jc w:val="left"/>
        <w:spacing w:line="500" w:lineRule="exact"/>
        <w:rPr>
          <w:rFonts w:hint="eastAsia" w:ascii="宋体" w:hAnsi="宋体" w:eastAsia="宋体" w:cs="宋体"/>
          <w:color w:val="auto"/>
          <w:sz w:val="24"/>
          <w:szCs w:val="24"/>
          <w:highlight w:val="none"/>
        </w:rPr>
      </w:pPr>
      <w:r/>
      <w:bookmarkStart w:id="170" w:name="_Toc18421"/>
      <w:r/>
      <w:bookmarkStart w:id="171" w:name="_Toc465856613"/>
      <w:r/>
      <w:r/>
    </w:p>
    <w:p>
      <w:pPr>
        <w:pStyle w:val="70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9"/>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2" w:name="_Toc948"/>
      <w:r/>
      <w:bookmarkStart w:id="173" w:name="_Toc26254"/>
      <w:r/>
      <w:bookmarkStart w:id="174" w:name="_Toc19303"/>
      <w:r>
        <w:rPr>
          <w:rFonts w:hint="eastAsia" w:ascii="宋体" w:hAnsi="宋体" w:eastAsia="宋体" w:cs="宋体"/>
          <w:color w:val="auto"/>
          <w:highlight w:val="none"/>
        </w:rPr>
        <w:t xml:space="preserve">第三章 </w:t>
      </w:r>
      <w:bookmarkEnd w:id="170"/>
      <w:r/>
      <w:bookmarkEnd w:id="171"/>
      <w:r/>
      <w:bookmarkEnd w:id="172"/>
      <w:r/>
      <w:bookmarkEnd w:id="173"/>
      <w:r>
        <w:rPr>
          <w:rFonts w:hint="eastAsia" w:ascii="宋体" w:hAnsi="宋体" w:eastAsia="宋体" w:cs="宋体"/>
          <w:color w:val="auto"/>
          <w:highlight w:val="none"/>
        </w:rPr>
        <w:t xml:space="preserve">合同文本</w:t>
      </w:r>
      <w:bookmarkEnd w:id="174"/>
      <w:r/>
      <w:r/>
    </w:p>
    <w:p>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r>
      <w:r/>
    </w:p>
    <w:p>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连 云 港 市 政 府 采 购</w:t>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18"/>
        <w:rPr>
          <w:rFonts w:hint="eastAsia" w:ascii="宋体" w:hAnsi="宋体" w:eastAsia="宋体" w:cs="宋体"/>
          <w:b/>
          <w:bCs/>
          <w:color w:val="auto"/>
          <w:sz w:val="48"/>
          <w:szCs w:val="48"/>
          <w:highlight w:val="none"/>
        </w:rPr>
        <w:outlineLvl w:val="1"/>
      </w:pPr>
      <w:r/>
      <w:bookmarkStart w:id="175" w:name="_Toc1891"/>
      <w:r>
        <w:rPr>
          <w:rFonts w:hint="eastAsia" w:ascii="宋体" w:hAnsi="宋体" w:eastAsia="宋体" w:cs="宋体"/>
          <w:b/>
          <w:bCs/>
          <w:color w:val="auto"/>
          <w:sz w:val="48"/>
          <w:szCs w:val="48"/>
          <w:highlight w:val="none"/>
        </w:rPr>
        <w:t xml:space="preserve">合同</w:t>
      </w:r>
      <w:bookmarkEnd w:id="175"/>
      <w:r/>
      <w:r/>
    </w:p>
    <w:p>
      <w:pPr>
        <w:ind w:firstLine="250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97"/>
        <w:ind w:firstLine="85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28"/>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合同编号：</w:t>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18"/>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采购人：</w:t>
      </w:r>
      <w:r/>
    </w:p>
    <w:p>
      <w:pPr>
        <w:ind w:firstLine="1918"/>
        <w:rPr>
          <w:rFonts w:hint="eastAsia" w:ascii="宋体" w:hAnsi="宋体" w:eastAsia="宋体" w:cs="宋体"/>
          <w:color w:val="auto"/>
          <w:sz w:val="48"/>
          <w:szCs w:val="48"/>
          <w:highlight w:val="none"/>
        </w:rPr>
      </w:pPr>
      <w:r>
        <w:rPr>
          <w:rFonts w:hint="eastAsia" w:ascii="宋体" w:hAnsi="宋体" w:eastAsia="宋体" w:cs="宋体"/>
          <w:b/>
          <w:bCs/>
          <w:color w:val="auto"/>
          <w:sz w:val="48"/>
          <w:szCs w:val="48"/>
          <w:highlight w:val="none"/>
        </w:rPr>
        <w:t xml:space="preserve">成交供应商：</w:t>
      </w:r>
      <w:r/>
    </w:p>
    <w:p>
      <w:pPr>
        <w:pStyle w:val="704"/>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以下为成交后签定本项目合同的通用条款，成交供应商不得提出实质性的修改，关于专用条款将由采购人与成交供应商结合本项目具体情况协商后签订。</w:t>
      </w:r>
      <w:r/>
    </w:p>
    <w:p>
      <w:pPr>
        <w:rPr>
          <w:rFonts w:hint="eastAsia" w:ascii="宋体" w:hAnsi="宋体" w:eastAsia="宋体" w:cs="宋体"/>
          <w:b/>
          <w:color w:val="auto"/>
          <w:sz w:val="32"/>
          <w:szCs w:val="32"/>
          <w:highlight w:val="none"/>
        </w:rPr>
      </w:pPr>
      <w:r/>
      <w:bookmarkStart w:id="176" w:name="_Hlt16619369"/>
      <w:r/>
      <w:bookmarkEnd w:id="176"/>
      <w:r>
        <w:rPr>
          <w:rFonts w:hint="eastAsia" w:ascii="宋体" w:hAnsi="宋体" w:eastAsia="宋体" w:cs="宋体"/>
          <w:b/>
          <w:color w:val="auto"/>
          <w:sz w:val="32"/>
          <w:szCs w:val="32"/>
          <w:highlight w:val="none"/>
        </w:rPr>
        <w:br w:type="page" w:clear="all"/>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江苏省政府采购合同</w:t>
      </w:r>
      <w:bookmarkStart w:id="177" w:name="_Toc12693"/>
      <w:r/>
      <w:bookmarkStart w:id="178" w:name="_Toc465856614"/>
      <w:r>
        <w:rPr>
          <w:rFonts w:hint="eastAsia" w:ascii="宋体" w:hAnsi="宋体" w:eastAsia="宋体" w:cs="宋体"/>
          <w:b/>
          <w:color w:val="auto"/>
          <w:sz w:val="32"/>
          <w:szCs w:val="32"/>
          <w:highlight w:val="none"/>
        </w:rPr>
        <w:t xml:space="preserve">（合同编号）</w:t>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见证方：</w:t>
      </w:r>
      <w:r>
        <w:rPr>
          <w:rFonts w:hint="eastAsia" w:ascii="宋体" w:hAnsi="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      年   月  日   【项目名称】  项目（项目编号： 【项目编号】 ）竞争性磋商采购的结果，签订本合同。</w:t>
      </w:r>
      <w:r/>
    </w:p>
    <w:p>
      <w:pPr>
        <w:pStyle w:val="704"/>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704"/>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货物及其数量如下表</w:t>
      </w:r>
      <w:r/>
    </w:p>
    <w:tbl>
      <w:tblPr>
        <w:tblStyle w:val="689"/>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4"/>
        <w:gridCol w:w="1245"/>
        <w:gridCol w:w="900"/>
        <w:gridCol w:w="1950"/>
        <w:gridCol w:w="765"/>
        <w:gridCol w:w="795"/>
        <w:gridCol w:w="870"/>
        <w:gridCol w:w="1048"/>
      </w:tblGrid>
      <w:tr>
        <w:trPr>
          <w:cantSplit/>
          <w:jc w:val="center"/>
          <w:trHeight w:val="510"/>
        </w:trPr>
        <w:tc>
          <w:tcPr>
            <w:tcW w:w="2144"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货物名称</w:t>
            </w:r>
            <w:r/>
          </w:p>
        </w:tc>
        <w:tc>
          <w:tcPr>
            <w:tcW w:w="124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生产厂家</w:t>
            </w:r>
            <w:r/>
          </w:p>
        </w:tc>
        <w:tc>
          <w:tcPr>
            <w:tcW w:w="90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品牌</w:t>
            </w:r>
            <w:r/>
          </w:p>
        </w:tc>
        <w:tc>
          <w:tcPr>
            <w:tcW w:w="195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主要技术规格要求</w:t>
            </w:r>
            <w:r/>
          </w:p>
        </w:tc>
        <w:tc>
          <w:tcPr>
            <w:tcW w:w="76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W w:w="79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W w:w="87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w:t>
            </w:r>
            <w:r/>
          </w:p>
        </w:tc>
        <w:tc>
          <w:tcPr>
            <w:tcW w:w="1048"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w:t>
            </w:r>
            <w:r/>
          </w:p>
        </w:tc>
      </w:tr>
      <w:tr>
        <w:trPr>
          <w:cantSplit/>
          <w:jc w:val="center"/>
          <w:trHeight w:val="510"/>
        </w:trPr>
        <w:tc>
          <w:tcPr>
            <w:tcW w:w="2144"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90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5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6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9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87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048"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jc w:val="center"/>
          <w:trHeight w:val="510"/>
        </w:trPr>
        <w:tc>
          <w:tcPr>
            <w:gridSpan w:val="6"/>
            <w:tcW w:w="7799"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总计大写：</w:t>
            </w:r>
            <w:r/>
          </w:p>
        </w:tc>
        <w:tc>
          <w:tcPr>
            <w:gridSpan w:val="2"/>
            <w:tcW w:w="1918" w:type="dxa"/>
            <w:vAlign w:val="center"/>
            <w:textDirection w:val="lrTb"/>
            <w:noWrap/>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p>
        </w:tc>
      </w:tr>
    </w:tbl>
    <w:p>
      <w:pPr>
        <w:pStyle w:val="704"/>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1.2 交货地点：</w:t>
      </w:r>
      <w:r>
        <w:rPr>
          <w:rFonts w:hint="eastAsia" w:hAnsi="宋体" w:cs="宋体"/>
          <w:bCs/>
          <w:color w:val="auto"/>
          <w:sz w:val="24"/>
          <w:szCs w:val="24"/>
          <w:highlight w:val="none"/>
          <w:lang w:val="en-US" w:eastAsia="zh-CN"/>
        </w:rPr>
        <w:t xml:space="preserve">赣榆区内甲方指定地点</w:t>
      </w:r>
      <w:r>
        <w:rPr>
          <w:rFonts w:hint="eastAsia" w:ascii="宋体" w:hAnsi="宋体" w:eastAsia="宋体" w:cs="宋体"/>
          <w:bCs/>
          <w:color w:val="auto"/>
          <w:sz w:val="24"/>
          <w:szCs w:val="24"/>
          <w:highlight w:val="none"/>
        </w:rPr>
        <w:t xml:space="preserve">。</w:t>
      </w:r>
      <w:r/>
    </w:p>
    <w:p>
      <w:pPr>
        <w:pStyle w:val="704"/>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合同总价</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本合同总金额为（大写）：元（￥）人民币。</w:t>
      </w:r>
      <w:r/>
    </w:p>
    <w:p>
      <w:pPr>
        <w:pStyle w:val="725"/>
        <w:ind w:firstLine="480"/>
        <w:jc w:val="both"/>
        <w:spacing w:before="0" w:beforeAutospacing="0" w:after="0" w:afterAutospacing="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2.2 本合同总金额为完成本项目所有含税费用。包含但不限于货物本身价格、人工费、检测、包装费、运输费、装卸费、安装调试费</w:t>
      </w:r>
      <w:r>
        <w:rPr>
          <w:rFonts w:hint="eastAsia" w:ascii="宋体" w:hAnsi="宋体" w:eastAsia="宋体" w:cs="宋体"/>
          <w:color w:val="auto"/>
          <w:highlight w:val="none"/>
          <w:lang w:val="zh-CN"/>
        </w:rPr>
        <w:t xml:space="preserve">、售后服务、</w:t>
      </w:r>
      <w:r>
        <w:rPr>
          <w:rFonts w:hint="eastAsia" w:ascii="宋体" w:hAnsi="宋体" w:eastAsia="宋体" w:cs="宋体"/>
          <w:color w:val="auto"/>
          <w:highlight w:val="none"/>
        </w:rPr>
        <w:t xml:space="preserve">管理、</w:t>
      </w:r>
      <w:r>
        <w:rPr>
          <w:rFonts w:hint="eastAsia" w:ascii="宋体" w:hAnsi="宋体" w:eastAsia="宋体" w:cs="宋体"/>
          <w:color w:val="auto"/>
          <w:highlight w:val="none"/>
          <w:lang w:val="zh-CN"/>
        </w:rPr>
        <w:t xml:space="preserve">利润、税金、保险、风险、政策性文件规定及合同包含的所有风险、责任等各项应有费用。</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甲方向乙方提供货物的有关技术资料。</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乙方应按磋商文件规定的时间向甲方提供使用货物的有关技术资料。</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没有甲方事先书面同意，乙方不得将由甲方提供的有关合同或任何合同条文、规格、计划、资料提供给与履行本合同无关的任何其他人。即使向履行本合同有关的人员提供，也应注意保密并限于履行合同的必需范围。</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乙方应保证所提供的货物或其任何一部分均不会侵犯任何第三方的专利权、商标权或著作权。</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乙方保证所交付的货物所有权完全属于乙方且无任何抵押、查封等产权瑕疵。如乙方所交货物有产权瑕疵的，视为乙方违约，按照本合同第12条相关条款约定处理。但在已经全部支付完合同款后才发现有产权瑕疵的，除了支付违约金，乙方还应负担由此而产生的一切损失。</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五、转包或分包</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本合同范围内所需货物，应由乙方直接供应，不得转让他人供应；</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除非得到甲方的书面同意，乙方不得部分分包给他人供应；</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如有转让和未经甲方同意的分包行为，甲方有权终止合同。 </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六、质保期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质保期</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（承诺延长的按其承诺）。在免费质保期内乙方对产品质量实行三包，因产品配置或制造质量问题而引起的故障，乙方应在24小时内立即予以免费维修或更换，由此引起的一切费用由乙方承担。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质保期满后，甲方如需延长维保期限，质保费用双方另行协商。</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七、供货期限、供货方式及交货地点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供货期限：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供货方式：</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7.3 交货地点：</w:t>
      </w:r>
      <w:r>
        <w:rPr>
          <w:rFonts w:hint="eastAsia" w:ascii="宋体" w:hAnsi="宋体" w:cs="宋体"/>
          <w:color w:val="auto"/>
          <w:sz w:val="24"/>
          <w:highlight w:val="none"/>
          <w:lang w:val="en-US" w:eastAsia="zh-CN"/>
        </w:rPr>
        <w:t xml:space="preserve">赣榆区</w:t>
      </w:r>
      <w:r>
        <w:rPr>
          <w:rFonts w:hint="eastAsia" w:ascii="宋体" w:hAnsi="宋体" w:eastAsia="宋体" w:cs="宋体"/>
          <w:color w:val="auto"/>
          <w:sz w:val="24"/>
          <w:highlight w:val="none"/>
          <w:u w:val="single"/>
        </w:rPr>
        <w:t xml:space="preserve">甲方指定地点</w:t>
      </w:r>
      <w:r>
        <w:rPr>
          <w:rFonts w:hint="eastAsia" w:ascii="宋体" w:hAnsi="宋体" w:eastAsia="宋体" w:cs="宋体"/>
          <w:color w:val="auto"/>
          <w:sz w:val="24"/>
          <w:highlight w:val="none"/>
        </w:rPr>
        <w:t xml:space="preserve">。</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八、合同价款支付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付款方式：</w:t>
      </w:r>
      <w:r>
        <w:rPr>
          <w:rFonts w:hint="eastAsia" w:ascii="宋体" w:hAnsi="宋体" w:eastAsia="宋体" w:cs="宋体"/>
          <w:color w:val="auto"/>
          <w:sz w:val="24"/>
          <w:highlight w:val="yellow"/>
        </w:rPr>
        <w:t xml:space="preserve">合同签订后10个工作日内，甲方向乙方支付合同价款的30%为预付款，剩余款项按实际批次供货量供货完成并经验收合格后，根据项目实施相关规定，财政报账制一次性支付剩余款项（无息）。</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付款前乙方应向甲方开具正规发票，</w:t>
      </w:r>
      <w:r>
        <w:rPr>
          <w:rFonts w:hint="eastAsia" w:ascii="宋体" w:hAnsi="宋体" w:cs="宋体"/>
          <w:color w:val="auto"/>
          <w:sz w:val="24"/>
          <w:highlight w:val="none"/>
          <w:lang w:val="en-US" w:eastAsia="zh-CN"/>
        </w:rPr>
        <w:t xml:space="preserve">供货交接单，质量检验证书，</w:t>
      </w:r>
      <w:r>
        <w:rPr>
          <w:rFonts w:hint="eastAsia" w:ascii="宋体" w:hAnsi="宋体" w:eastAsia="宋体" w:cs="宋体"/>
          <w:color w:val="auto"/>
          <w:sz w:val="24"/>
          <w:szCs w:val="24"/>
          <w:highlight w:val="none"/>
        </w:rPr>
        <w:t xml:space="preserve">甲方自收到发票后10个工作日内将资金支付至合同约定的乙方账户（发票开具日期计算）。</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九、质量保证及售后服务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乙方应按磋商文件规定的货物性能、技术要求、质量标准向甲方提供未经使用的全新产品。应按照国家有关法律法规规章和“三包”规定以及合同所附的“服务承诺”提供服务。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技术支持响应时间。成交供应商需提供本地化的技术支持服务，指定负责人，并配备专门通信朵道，保证服务热线畅通。运行中出现故障时，由采购人通知成交供应商。疑难问题（不危及运行）在24小时内答复用户。重大问题（危及运行）在2小时内到现场处理或通过网络远程处理。特大问题（系统不能正常运行）在2小时内恢复系统运行，并在24小时内派技术人员到现场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 在保修期内如产品出现质量异常，乙方在接到甲方通知后必须到场处理，若不能如期到场每延迟1日按合同总金额的1%支付违约金。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在免费质保期过后，如甲方需乙方技术支</w:t>
      </w:r>
      <w:r>
        <w:rPr>
          <w:rFonts w:hint="eastAsia" w:ascii="宋体" w:hAnsi="宋体" w:eastAsia="宋体" w:cs="宋体"/>
          <w:color w:val="auto"/>
          <w:sz w:val="24"/>
          <w:highlight w:val="none"/>
        </w:rPr>
        <w:t xml:space="preserve">持，乙方在接到甲方通知后2天内必须到场处理，所有费用包括但不限于食宿、差旅费等由乙方承担。乙方派员到甲方地点进行交货、调试、维修或售后服务，应派遣乙方有雇佣或聘请的、有相应知识技能的乙方员工进行操作，乙方员工应向甲方出示乙方开具的授权委托书、介绍信原件、身份证复印件以供甲方备案；并为所派遣的人员购买相应的社会保险或商业保险，乙方人员在甲方范围内发生的一切事故与甲方无关，乙方对此承担全部责任。如乙方未按前述要求派员或未购买相应的保险，造成的一切后果由乙方负责，如甲方因此遭受损失，乙方应全额向甲方承担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 合同标的货品在使用中因质量问题导致的火灾等意外损失及由此引起甲方或第三方的人身伤害和财产损失，由乙方承担因此而产生的一切费用及经济与法律责任。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 乙方接到甲方的报修通知后如需派员入场的，乙方需遵守甲方有关外来人员管理的相关制度以及提供加盖乙方公章的授权委托书原件以供甲方备案。否则，甲方有权拒绝在乙方维修单上签字或拒绝承认乙方维修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9.7 甲乙双方因合同标的的质量问题而发生争议，由甲方所在地质检部门进行质量鉴定。符合质量标准的，鉴定费用由甲方承担，不符合质量标准的，鉴定费用由乙方承担，且甲方不接受质量鉴定不合格的产品。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9.8 技术服务：乙方应派员到甲方指定地点配合工作，并按甲方提供的合同执行进度要求提供技术服务。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甲方以竞争性磋商文件、成交供应商的响应文件、承诺、合同为依据，成立验收小组，负责对项目进行全面的验收。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货物的验收包括：型号、规格、数量、外观质量是否完好，安装调试是否合格，所提供货物的装箱清单、用户手册、原厂保修卡、随机资料及配件、随机工具等是否齐全。乙方对质量问题负责包退、包换和包修，因此发生的费用由乙方自行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货物到达甲方指定地点，应提前通知甲方，由甲方根据有关清单进行验收。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乙方应派有资格、有经验的人员负责安装、调试，须在合同规定的时间内完成安装、调试；在调试工作完成后，根据相关部门规定的验收方案，严格按照有关要求及标准，对整个项目进行验收；交付使用时要同时向甲方提供详细的技术文件、调试报告、安装记录。</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十一、货物包装、发运及运输</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货物在安装调试合格交付甲方前发生的风险均由乙方负责。</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货物在规定的交付期限内由乙方送达甲方指定的地点视为交付，乙方同时需通知甲方货物已送达。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甲方无正当理由拒收货物的，甲方向乙方偿付拒收合同款总值的百分之五违约金。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乙方逾期交付货物的，乙方应按逾期交货总额每日千分之五向甲方支付违约金，由甲方从待付合同款中扣除。逾期超过约定日期5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乙方所交的货物品牌、数量、型号、规格、技术参数、质量不符合合同规定及磋商文件规定标准的，甲方有权拒收该货物，乙方愿意更换货物但逾期交货的，按乙方逾期交货处理。乙方拒绝更换货物的，甲方可单方面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 在质保期内，乙方所供货物出现质量问题不能使用或严重影响使用效果的，由甲方对乙方提出索赔。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十三、不可抗力事件处理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不可抗力事件发生后，应立即通知对方，并寄送有关权威机构出具的证明。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不可抗力事件延续120天以上，双方应通过友好协商，确定是否继续履行合同。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十四、争议解决</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双方在执行合同中所发生的一切争议，应通过协商解决。如协商不成，按下列第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种方式解决：</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（2）向合同签订地的法院起诉，合同签订地在此约定为</w:t>
      </w:r>
      <w:r>
        <w:rPr>
          <w:rFonts w:hint="eastAsia" w:ascii="宋体" w:hAnsi="宋体" w:eastAsia="宋体" w:cs="宋体"/>
          <w:color w:val="auto"/>
          <w:sz w:val="24"/>
          <w:szCs w:val="24"/>
          <w:highlight w:val="none"/>
          <w:u w:val="single"/>
        </w:rPr>
        <w:t xml:space="preserve">连云港市赣榆区</w:t>
      </w:r>
      <w:r>
        <w:rPr>
          <w:rFonts w:hint="eastAsia" w:ascii="宋体" w:hAnsi="宋体" w:eastAsia="宋体" w:cs="宋体"/>
          <w:color w:val="auto"/>
          <w:sz w:val="24"/>
          <w:szCs w:val="24"/>
          <w:highlight w:val="none"/>
        </w:rPr>
        <w:t xml:space="preserve">。</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因一方违约引发诉讼的，违约方承担守约方因诉讼而产生的费用，包括但不限于诉讼费、保全费、律师代理费等一切实现债权费用。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十五、合同生效及其它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合同经双方法定代表人或授权委托代理人签字（或盖章）并加盖单位公章后生效。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合同执行中涉及采购资金和采购内容修改或补充的，须经财政部门审批、备案，方可作为主合同不可分割的一部分。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下述合同附件为本合同不可分割的部分并与本合同具有同等效力：</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（2）乙方成交的磋商文件；</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（4）乙方在磋商过程中所作的其它承诺、声明、书面澄清等。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 本合同未尽事宜，遵照《中华人民共和国民法典》有关条文执行。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 本合同正本一式陆份，具有同等法律效力，甲方、乙方各执贰份，财政监管部门、见证方各执壹份。</w:t>
      </w:r>
      <w:r/>
    </w:p>
    <w:p>
      <w:pPr>
        <w:pStyle w:val="7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委托代理人（签字或盖章）：              委托代理人（签字或盖章）：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签订地点：连云港市赣榆区                签订日期：      年  月  日</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                                见证时间：      年  月  日</w:t>
      </w:r>
      <w:bookmarkStart w:id="179" w:name="_Toc3379"/>
      <w:r/>
      <w:bookmarkStart w:id="180" w:name="_Toc27955"/>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77"/>
      <w:bookmarkEnd w:id="178"/>
      <w:bookmarkEnd w:id="179"/>
      <w:bookmarkEnd w:id="180"/>
      <w:r/>
    </w:p>
    <w:p>
      <w:pPr>
        <w:pStyle w:val="679"/>
        <w:jc w:val="both"/>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numPr>
          <w:ilvl w:val="0"/>
          <w:numId w:val="5"/>
        </w:numPr>
        <w:keepNext w:val="0"/>
        <w:spacing w:line="360" w:lineRule="auto"/>
        <w:rPr>
          <w:rFonts w:hint="eastAsia" w:ascii="宋体" w:hAnsi="宋体" w:eastAsia="宋体" w:cs="宋体"/>
          <w:color w:val="auto"/>
          <w:highlight w:val="none"/>
        </w:rPr>
      </w:pPr>
      <w:r/>
      <w:bookmarkStart w:id="181" w:name="_Toc24319"/>
      <w:r/>
      <w:bookmarkStart w:id="182" w:name="_Toc61149622"/>
      <w:r/>
      <w:bookmarkStart w:id="183" w:name="_Toc23828480"/>
      <w:r/>
      <w:bookmarkStart w:id="184" w:name="_Toc26554097"/>
      <w:r>
        <w:rPr>
          <w:rFonts w:hint="eastAsia" w:ascii="宋体" w:hAnsi="宋体" w:eastAsia="宋体" w:cs="宋体"/>
          <w:color w:val="auto"/>
          <w:highlight w:val="none"/>
        </w:rPr>
        <w:t xml:space="preserve">采购需求</w:t>
      </w:r>
      <w:bookmarkEnd w:id="181"/>
      <w:r/>
      <w:r/>
    </w:p>
    <w:p>
      <w:pPr>
        <w:spacing w:line="360" w:lineRule="auto"/>
        <w:rPr>
          <w:rFonts w:hint="eastAsia" w:ascii="宋体" w:hAnsi="宋体" w:eastAsia="宋体" w:cs="宋体"/>
          <w:b/>
          <w:color w:val="auto"/>
          <w:sz w:val="32"/>
          <w:szCs w:val="32"/>
          <w:highlight w:val="none"/>
          <w:lang w:val="en-US" w:eastAsia="zh-CN"/>
        </w:rPr>
      </w:pPr>
      <w:r/>
      <w:bookmarkStart w:id="185" w:name="_Toc25773"/>
      <w:r/>
      <w:bookmarkStart w:id="186" w:name="_Toc465856615"/>
      <w:r>
        <w:rPr>
          <w:rFonts w:hint="eastAsia" w:ascii="宋体" w:hAnsi="宋体" w:cs="宋体"/>
          <w:b/>
          <w:color w:val="auto"/>
          <w:sz w:val="32"/>
          <w:szCs w:val="32"/>
          <w:highlight w:val="none"/>
          <w:lang w:val="en-US" w:eastAsia="zh-CN"/>
        </w:rPr>
        <w:t xml:space="preserve">分包一：</w:t>
      </w:r>
      <w:r/>
    </w:p>
    <w:p>
      <w:pPr>
        <w:ind w:firstLine="883"/>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2"/>
          <w:szCs w:val="22"/>
          <w:highlight w:val="none"/>
        </w:rPr>
        <w:t xml:space="preserve">说明：</w:t>
      </w:r>
      <w:r>
        <w:rPr>
          <w:rFonts w:hint="eastAsia" w:ascii="宋体" w:hAnsi="宋体" w:eastAsia="宋体" w:cs="宋体"/>
          <w:color w:val="auto"/>
          <w:sz w:val="22"/>
          <w:szCs w:val="22"/>
          <w:highlight w:val="none"/>
        </w:rPr>
        <w:t xml:space="preserve">本项目属性为</w:t>
      </w:r>
      <w:r>
        <w:rPr>
          <w:rFonts w:hint="eastAsia" w:ascii="宋体" w:hAnsi="宋体" w:eastAsia="宋体" w:cs="宋体"/>
          <w:b/>
          <w:bCs/>
          <w:color w:val="auto"/>
          <w:sz w:val="22"/>
          <w:szCs w:val="22"/>
          <w:highlight w:val="none"/>
        </w:rPr>
        <w:t xml:space="preserve">货物</w:t>
      </w:r>
      <w:r>
        <w:rPr>
          <w:rFonts w:hint="eastAsia" w:ascii="宋体" w:hAnsi="宋体" w:eastAsia="宋体" w:cs="宋体"/>
          <w:color w:val="auto"/>
          <w:sz w:val="22"/>
          <w:szCs w:val="22"/>
          <w:highlight w:val="none"/>
        </w:rPr>
        <w:t xml:space="preserve">采购，采购标的对应的中小企业划分标准所属行业为</w:t>
      </w:r>
      <w:r>
        <w:rPr>
          <w:rFonts w:hint="eastAsia" w:ascii="宋体" w:hAnsi="宋体" w:eastAsia="宋体" w:cs="宋体"/>
          <w:b/>
          <w:bCs/>
          <w:color w:val="auto"/>
          <w:sz w:val="22"/>
          <w:szCs w:val="22"/>
          <w:highlight w:val="none"/>
        </w:rPr>
        <w:t xml:space="preserve">工业</w:t>
      </w:r>
      <w:r>
        <w:rPr>
          <w:rFonts w:hint="eastAsia" w:ascii="宋体" w:hAnsi="宋体" w:eastAsia="宋体" w:cs="宋体"/>
          <w:color w:val="auto"/>
          <w:sz w:val="22"/>
          <w:szCs w:val="22"/>
          <w:highlight w:val="none"/>
        </w:rPr>
        <w:t xml:space="preserve">。</w:t>
      </w:r>
      <w:r/>
    </w:p>
    <w:p>
      <w:pPr>
        <w:ind w:firstLine="79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一、本项目需求中标注★号的部分为实质性要求和条件，供应商必须作出满足或者优于原要求和条件的响应，否则作无效响应处理。</w:t>
      </w:r>
      <w:r/>
    </w:p>
    <w:p>
      <w:pPr>
        <w:pStyle w:val="697"/>
        <w:ind w:firstLine="20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二</w:t>
      </w:r>
      <w:r>
        <w:rPr>
          <w:rFonts w:hint="eastAsia" w:ascii="宋体" w:hAnsi="宋体" w:eastAsia="宋体" w:cs="宋体"/>
          <w:b/>
          <w:bCs/>
          <w:color w:val="auto"/>
          <w:sz w:val="24"/>
          <w:szCs w:val="24"/>
          <w:highlight w:val="none"/>
        </w:rPr>
        <w:t xml:space="preserve">、采购清单</w:t>
      </w:r>
      <w:r/>
    </w:p>
    <w:tbl>
      <w:tblPr>
        <w:tblStyle w:val="689"/>
        <w:tblpPr w:horzAnchor="page" w:tblpXSpec="center" w:vertAnchor="text" w:tblpY="691" w:leftFromText="180" w:topFromText="0" w:rightFromText="180" w:bottomFromText="0"/>
        <w:tblW w:w="10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985"/>
        <w:gridCol w:w="1559"/>
        <w:gridCol w:w="2163"/>
        <w:gridCol w:w="1806"/>
        <w:gridCol w:w="1075"/>
      </w:tblGrid>
      <w:tr>
        <w:trPr>
          <w:jc w:val="center"/>
          <w:trHeight w:val="557"/>
        </w:trPr>
        <w:tc>
          <w:tcPr>
            <w:tcW w:w="164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序号</w:t>
            </w:r>
            <w:r/>
          </w:p>
        </w:tc>
        <w:tc>
          <w:tcPr>
            <w:tcW w:w="198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采购产品</w:t>
            </w:r>
            <w:r/>
          </w:p>
        </w:tc>
        <w:tc>
          <w:tcPr>
            <w:tcW w:w="1559"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计量单位</w:t>
            </w:r>
            <w:r/>
          </w:p>
        </w:tc>
        <w:tc>
          <w:tcPr>
            <w:tcW w:w="216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最高单价限价（元）</w:t>
            </w:r>
            <w:r/>
          </w:p>
        </w:tc>
        <w:tc>
          <w:tcPr>
            <w:tcW w:w="180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是否进口产品</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32" w:hRule="exact"/>
        </w:trPr>
        <w:tc>
          <w:tcPr>
            <w:tcW w:w="16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tcW w:w="198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高强度加厚地膜</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吨</w:t>
            </w:r>
            <w:r/>
          </w:p>
        </w:tc>
        <w:tc>
          <w:tcPr>
            <w:tcW w:w="2163"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00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00</w:t>
            </w:r>
            <w:r/>
          </w:p>
        </w:tc>
        <w:tc>
          <w:tcPr>
            <w:tcW w:w="18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否</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本项目采用</w:t>
      </w:r>
      <w:r>
        <w:rPr>
          <w:rFonts w:hint="eastAsia" w:ascii="宋体" w:hAnsi="宋体" w:eastAsia="宋体" w:cs="宋体"/>
          <w:b/>
          <w:color w:val="auto"/>
          <w:szCs w:val="21"/>
          <w:highlight w:val="none"/>
          <w:u w:val="single"/>
        </w:rPr>
        <w:t xml:space="preserve">单价报价</w:t>
      </w:r>
      <w:r>
        <w:rPr>
          <w:rFonts w:hint="eastAsia" w:ascii="宋体" w:hAnsi="宋体" w:eastAsia="宋体" w:cs="宋体"/>
          <w:bCs/>
          <w:color w:val="auto"/>
          <w:szCs w:val="21"/>
          <w:highlight w:val="none"/>
        </w:rPr>
        <w:t xml:space="preserve">方式，投标报价高于限价(单价)的投价文件视为无效投价文件。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本项目供货数量以最终实际需求数量为准。</w:t>
      </w:r>
      <w:r/>
    </w:p>
    <w:p>
      <w:pPr>
        <w:pStyle w:val="697"/>
        <w:ind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三、产品技术指标和要求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color w:val="auto"/>
          <w:sz w:val="24"/>
          <w:highlight w:val="none"/>
        </w:rPr>
        <w:t xml:space="preserve">采购清单及技术参数要求</w:t>
      </w:r>
      <w:r/>
    </w:p>
    <w:tbl>
      <w:tblPr>
        <w:tblStyle w:val="973"/>
        <w:tblW w:w="10326" w:type="dxa"/>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50"/>
        <w:gridCol w:w="6653"/>
        <w:gridCol w:w="1423"/>
      </w:tblGrid>
      <w:tr>
        <w:trPr>
          <w:trHeight w:val="526"/>
        </w:trPr>
        <w:tc>
          <w:tcPr>
            <w:tcW w:w="22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66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技术规格</w:t>
            </w:r>
            <w:r/>
          </w:p>
        </w:tc>
        <w:tc>
          <w:tcPr>
            <w:tcW w:w="1423" w:type="dxa"/>
            <w:vAlign w:val="center"/>
            <w:textDirection w:val="lrTb"/>
            <w:noWrap w:val="false"/>
          </w:tcPr>
          <w:p>
            <w:pPr>
              <w:jc w:val="center"/>
              <w:rPr>
                <w:color w:val="auto"/>
                <w:highlight w:val="none"/>
              </w:rPr>
            </w:pPr>
            <w:r>
              <w:rPr>
                <w:color w:val="auto"/>
                <w:highlight w:val="none"/>
              </w:rPr>
              <w:t xml:space="preserve">最高限价 </w:t>
            </w:r>
            <w:r/>
          </w:p>
          <w:p>
            <w:pPr>
              <w:jc w:val="center"/>
              <w:rPr>
                <w:color w:val="auto"/>
                <w:highlight w:val="none"/>
              </w:rPr>
            </w:pPr>
            <w:r>
              <w:rPr>
                <w:color w:val="auto"/>
                <w:highlight w:val="none"/>
              </w:rPr>
              <w:t xml:space="preserve"> (元/吨)</w:t>
            </w:r>
            <w:r/>
          </w:p>
        </w:tc>
      </w:tr>
      <w:tr>
        <w:trPr>
          <w:trHeight w:val="1259"/>
        </w:trPr>
        <w:tc>
          <w:tcPr>
            <w:tcW w:w="2250" w:type="dxa"/>
            <w:vAlign w:val="center"/>
            <w:vMerge w:val="restart"/>
            <w:textDirection w:val="lrTb"/>
            <w:noWrap w:val="false"/>
          </w:tcPr>
          <w:p>
            <w:pPr>
              <w:jc w:val="center"/>
              <w:rPr>
                <w:rFonts w:hint="eastAsia" w:ascii="宋体" w:hAnsi="宋体" w:eastAsia="宋体" w:cs="宋体"/>
                <w:color w:val="auto"/>
                <w:highlight w:val="none"/>
                <w:lang w:val="en-US" w:eastAsia="zh-CN"/>
              </w:rPr>
            </w:pPr>
            <w:r>
              <w:rPr>
                <w:rFonts w:hint="eastAsia"/>
                <w:b/>
                <w:bCs/>
                <w:color w:val="000000" w:themeColor="text1"/>
                <w14:textFill>
                  <w14:solidFill>
                    <w14:schemeClr w14:val="tx1"/>
                  </w14:solidFill>
                </w14:textFill>
              </w:rPr>
              <w:t xml:space="preserve">加厚高强度地膜</w:t>
            </w:r>
            <w:r/>
          </w:p>
        </w:tc>
        <w:tc>
          <w:tcPr>
            <w:tcW w:w="6653" w:type="dxa"/>
            <w:vAlign w:val="center"/>
            <w:textDirection w:val="lrTb"/>
            <w:noWrap w:val="false"/>
          </w:tcPr>
          <w:p>
            <w:pPr>
              <w:jc w:val="left"/>
              <w:rPr>
                <w:rFonts w:hint="eastAsia"/>
                <w:color w:val="000000" w:themeColor="text1"/>
                <w14:textFill>
                  <w14:solidFill>
                    <w14:schemeClr w14:val="tx1"/>
                  </w14:solidFill>
                </w14:textFill>
              </w:rPr>
            </w:pPr>
            <w:r>
              <w:rPr>
                <w:rFonts w:asciiTheme="minorEastAsia" w:hAnsiTheme="minorEastAsia" w:eastAsiaTheme="minorEastAsia" w:cstheme="majorBidi"/>
                <w:b/>
                <w:bCs/>
                <w:color w:val="000000"/>
                <w:szCs w:val="28"/>
              </w:rPr>
              <w:t xml:space="preserve">执行标准</w:t>
            </w:r>
            <w:r>
              <w:rPr>
                <w:rFonts w:hint="eastAsia" w:asciiTheme="minorEastAsia" w:hAnsiTheme="minorEastAsia" w:eastAsiaTheme="minorEastAsia" w:cstheme="majorBidi"/>
                <w:b/>
                <w:bCs/>
                <w:color w:val="000000"/>
                <w:szCs w:val="28"/>
                <w:lang w:eastAsia="zh-CN"/>
              </w:rPr>
              <w:t xml:space="preserve">：</w:t>
            </w:r>
            <w:r>
              <w:rPr>
                <w:rFonts w:hint="eastAsia"/>
                <w:color w:val="000000" w:themeColor="text1"/>
                <w14:textFill>
                  <w14:solidFill>
                    <w14:schemeClr w14:val="tx1"/>
                  </w14:solidFill>
                </w14:textFill>
              </w:rPr>
              <w:t xml:space="preserve">加厚高强度地膜覆盖使用时间和力学性能指标应不低于《聚乙烯吹塑农用地面覆盖薄膜 》(GB13735-2017)中I类耐老化地膜有关要求，且使用后最大拉伸负荷、断裂标称应变等力学性能指标不小于初始值的50%</w:t>
            </w:r>
            <w:r>
              <w:rPr>
                <w:rFonts w:hint="eastAsia"/>
                <w:color w:val="000000" w:themeColor="text1"/>
                <w:lang w:val="en-US" w:eastAsia="zh-CN"/>
                <w14:textFill>
                  <w14:solidFill>
                    <w14:schemeClr w14:val="tx1"/>
                  </w14:solidFill>
                </w14:textFill>
              </w:rPr>
              <w:t xml:space="preserve">。</w:t>
            </w:r>
            <w:r/>
          </w:p>
        </w:tc>
        <w:tc>
          <w:tcPr>
            <w:tcW w:w="1423" w:type="dxa"/>
            <w:vAlign w:val="center"/>
            <w:vMerge w:val="restart"/>
            <w:textDirection w:val="lrTb"/>
            <w:noWrap w:val="false"/>
          </w:tcPr>
          <w:p>
            <w:pPr>
              <w:jc w:val="center"/>
              <w:rPr>
                <w:rFonts w:hint="default" w:eastAsia="宋体"/>
                <w:color w:val="auto"/>
                <w:highlight w:val="none"/>
                <w:lang w:val="en-US" w:eastAsia="zh-CN"/>
              </w:rPr>
            </w:pPr>
            <w:r>
              <w:rPr>
                <w:rFonts w:hint="eastAsia" w:eastAsia="宋体"/>
                <w:lang w:val="en-US" w:eastAsia="zh-CN"/>
              </w:rPr>
              <w:t xml:space="preserve">1</w:t>
            </w:r>
            <w:r>
              <w:rPr>
                <w:rFonts w:hint="eastAsia"/>
                <w:lang w:val="en-US" w:eastAsia="zh-CN"/>
              </w:rPr>
              <w:t xml:space="preserve">3</w:t>
            </w:r>
            <w:r>
              <w:rPr>
                <w:rFonts w:hint="eastAsia" w:eastAsia="宋体"/>
                <w:lang w:val="en-US" w:eastAsia="zh-CN"/>
              </w:rPr>
              <w:t xml:space="preserve">000.00</w:t>
            </w:r>
            <w:r/>
          </w:p>
        </w:tc>
      </w:tr>
      <w:tr>
        <w:trPr>
          <w:trHeight w:val="1784"/>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left"/>
              <w:rPr>
                <w:rFonts w:hint="eastAsia" w:ascii="宋体" w:hAnsi="宋体" w:eastAsia="宋体" w:cs="宋体"/>
                <w:color w:val="auto"/>
                <w:szCs w:val="28"/>
                <w:highlight w:val="none"/>
              </w:rPr>
            </w:pPr>
            <w:r>
              <w:rPr>
                <w:rFonts w:asciiTheme="minorEastAsia" w:hAnsiTheme="minorEastAsia" w:eastAsiaTheme="minorEastAsia" w:cstheme="majorBidi"/>
                <w:b/>
                <w:bCs/>
                <w:color w:val="000000"/>
                <w:szCs w:val="28"/>
              </w:rPr>
              <w:t xml:space="preserve">主要原料</w:t>
            </w:r>
            <w:r>
              <w:rPr>
                <w:rFonts w:hint="eastAsia" w:asciiTheme="minorEastAsia" w:hAnsiTheme="minorEastAsia" w:eastAsiaTheme="minorEastAsia" w:cstheme="majorBidi"/>
                <w:b/>
                <w:bCs/>
                <w:color w:val="000000"/>
                <w:szCs w:val="28"/>
                <w:lang w:eastAsia="zh-CN"/>
              </w:rPr>
              <w:t xml:space="preserve">：</w:t>
            </w:r>
            <w:r>
              <w:rPr>
                <w:rFonts w:hint="eastAsia"/>
                <w:color w:val="000000" w:themeColor="text1"/>
                <w14:textFill>
                  <w14:solidFill>
                    <w14:schemeClr w14:val="tx1"/>
                  </w14:solidFill>
                </w14:textFill>
              </w:rPr>
              <w:t xml:space="preserve">主要成分包括聚乙烯、增塑剂和抗氧化剂‌。聚乙烯（PE）是地膜的基础材质，具有优良的耐化学腐蚀、耐低温、电绝缘性等特点‌。增塑剂的添加提高了地膜的柔韧性和延展性，使其更加柔软、易于拉伸，从而增强地膜的耐用性和抗拉伸性能。抗氧化剂的加入可以延缓聚乙烯材料的氧化过程，延长地膜的使用寿命</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产品原材料中不</w:t>
            </w:r>
            <w:r>
              <w:rPr>
                <w:rFonts w:hint="eastAsia"/>
                <w:color w:val="000000" w:themeColor="text1"/>
                <w:lang w:val="en-US" w:eastAsia="zh-CN"/>
                <w14:textFill>
                  <w14:solidFill>
                    <w14:schemeClr w14:val="tx1"/>
                  </w14:solidFill>
                </w14:textFill>
              </w:rPr>
              <w:t xml:space="preserve">再</w:t>
            </w:r>
            <w:r>
              <w:rPr>
                <w:rFonts w:hint="eastAsia"/>
                <w:color w:val="000000" w:themeColor="text1"/>
                <w14:textFill>
                  <w14:solidFill>
                    <w14:schemeClr w14:val="tx1"/>
                  </w14:solidFill>
                </w14:textFill>
              </w:rPr>
              <w:t xml:space="preserve">加入再生料及国家明确禁止使用、不利于作物生长、有害土壤的助剂</w:t>
            </w:r>
            <w:r>
              <w:rPr>
                <w:rFonts w:hint="eastAsia"/>
                <w:color w:val="000000" w:themeColor="text1"/>
                <w:lang w:eastAsia="zh-CN"/>
                <w14:textFill>
                  <w14:solidFill>
                    <w14:schemeClr w14:val="tx1"/>
                  </w14:solidFill>
                </w14:textFill>
              </w:rPr>
              <w:t xml:space="preserve">。</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488"/>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both"/>
              <w:rPr>
                <w:rFonts w:hint="eastAsia" w:ascii="宋体" w:hAnsi="宋体" w:eastAsia="宋体" w:cs="宋体"/>
                <w:color w:val="auto"/>
                <w:szCs w:val="28"/>
                <w:highlight w:val="none"/>
              </w:rPr>
            </w:pPr>
            <w:r>
              <w:rPr>
                <w:rFonts w:asciiTheme="minorEastAsia" w:hAnsiTheme="minorEastAsia" w:eastAsiaTheme="minorEastAsia" w:cstheme="majorBidi"/>
                <w:b/>
                <w:bCs/>
                <w:color w:val="000000"/>
                <w:szCs w:val="28"/>
              </w:rPr>
              <w:t xml:space="preserve">有效</w:t>
            </w:r>
            <w:r>
              <w:rPr>
                <w:rFonts w:hint="eastAsia" w:asciiTheme="minorEastAsia" w:hAnsiTheme="minorEastAsia" w:eastAsiaTheme="minorEastAsia" w:cstheme="majorBidi"/>
                <w:b/>
                <w:bCs/>
                <w:color w:val="000000"/>
                <w:szCs w:val="28"/>
                <w:lang w:val="en-US" w:eastAsia="zh-CN"/>
              </w:rPr>
              <w:t xml:space="preserve">使用</w:t>
            </w:r>
            <w:r>
              <w:rPr>
                <w:rFonts w:asciiTheme="minorEastAsia" w:hAnsiTheme="minorEastAsia" w:eastAsiaTheme="minorEastAsia" w:cstheme="majorBidi"/>
                <w:b/>
                <w:bCs/>
                <w:color w:val="000000"/>
                <w:szCs w:val="28"/>
              </w:rPr>
              <w:t xml:space="preserve">时间</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color w:val="auto"/>
                <w:szCs w:val="28"/>
              </w:rPr>
              <w:t xml:space="preserve">有效使用时间≥</w:t>
            </w:r>
            <w:r>
              <w:rPr>
                <w:rFonts w:hint="eastAsia" w:cs="Times New Roman" w:asciiTheme="minorEastAsia" w:hAnsiTheme="minorEastAsia"/>
                <w:color w:val="auto"/>
                <w:szCs w:val="28"/>
                <w:lang w:val="en-US" w:eastAsia="zh-CN"/>
              </w:rPr>
              <w:t xml:space="preserve">180天</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309"/>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ind w:right="42"/>
              <w:widowControl/>
              <w:rPr>
                <w:rFonts w:hint="default" w:cs="Times New Roman" w:asciiTheme="minorEastAsia" w:hAnsiTheme="minorEastAsia"/>
                <w:color w:val="auto"/>
                <w:szCs w:val="28"/>
                <w:lang w:val="en-US" w:eastAsia="zh-CN"/>
              </w:rPr>
            </w:pPr>
            <w:r>
              <w:rPr>
                <w:rFonts w:asciiTheme="minorEastAsia" w:hAnsiTheme="minorEastAsia" w:eastAsiaTheme="minorEastAsia" w:cstheme="majorBidi"/>
                <w:b/>
                <w:bCs/>
                <w:color w:val="000000"/>
                <w:szCs w:val="28"/>
              </w:rPr>
              <w:t xml:space="preserve">地膜规格</w:t>
            </w:r>
            <w:r>
              <w:rPr>
                <w:rFonts w:hint="eastAsia" w:asciiTheme="minorEastAsia" w:hAnsiTheme="minorEastAsia" w:eastAsiaTheme="minorEastAsia" w:cstheme="majorBidi"/>
                <w:b/>
                <w:bCs/>
                <w:color w:val="000000"/>
                <w:szCs w:val="28"/>
                <w:lang w:eastAsia="zh-CN"/>
              </w:rPr>
              <w:t xml:space="preserve">：</w:t>
            </w:r>
            <w:r>
              <w:rPr>
                <w:rFonts w:hint="eastAsia" w:asciiTheme="minorEastAsia" w:hAnsiTheme="minorEastAsia" w:eastAsiaTheme="minorEastAsia" w:cstheme="majorBidi"/>
                <w:b/>
                <w:bCs/>
                <w:color w:val="000000"/>
                <w:szCs w:val="28"/>
                <w:lang w:val="en-US" w:eastAsia="zh-CN"/>
              </w:rPr>
              <w:t xml:space="preserve">   </w:t>
            </w:r>
            <w:r>
              <w:rPr>
                <w:rFonts w:hint="eastAsia" w:cs="Times New Roman" w:asciiTheme="minorEastAsia" w:hAnsiTheme="minorEastAsia"/>
                <w:color w:val="auto"/>
                <w:szCs w:val="28"/>
                <w:lang w:val="en-US" w:eastAsia="zh-CN"/>
              </w:rPr>
              <w:t xml:space="preserve">宽度：90~120 厘米(具体根据甲方实际需求）</w:t>
            </w:r>
            <w:r/>
          </w:p>
          <w:p>
            <w:pPr>
              <w:ind w:right="42" w:firstLine="1260"/>
              <w:widowControl/>
              <w:rPr>
                <w:rFonts w:hint="default" w:cs="Times New Roman" w:asciiTheme="minorEastAsia" w:hAnsiTheme="minorEastAsia" w:eastAsiaTheme="minorEastAsia"/>
                <w:color w:val="auto"/>
                <w:szCs w:val="28"/>
                <w:lang w:val="en-US" w:eastAsia="zh-CN"/>
              </w:rPr>
            </w:pPr>
            <w:r>
              <w:rPr>
                <w:rFonts w:hint="eastAsia" w:cs="Times New Roman" w:asciiTheme="minorEastAsia" w:hAnsiTheme="minorEastAsia" w:eastAsiaTheme="minorEastAsia"/>
                <w:color w:val="auto"/>
                <w:szCs w:val="28"/>
              </w:rPr>
              <w:t xml:space="preserve">厚度:</w:t>
            </w:r>
            <w:r>
              <w:rPr>
                <w:rFonts w:hint="eastAsia" w:cs="Times New Roman" w:asciiTheme="minorEastAsia" w:hAnsiTheme="minorEastAsia"/>
                <w:color w:val="auto"/>
                <w:szCs w:val="28"/>
                <w:lang w:val="en-US" w:eastAsia="zh-CN"/>
              </w:rPr>
              <w:t xml:space="preserve">≥ 0.015mm</w:t>
            </w:r>
            <w:r/>
          </w:p>
          <w:p>
            <w:pPr>
              <w:ind w:right="42" w:firstLine="1260"/>
              <w:widowControl/>
              <w:rPr>
                <w:rFonts w:hint="default" w:cs="Times New Roman" w:asciiTheme="minorEastAsia" w:hAnsiTheme="minorEastAsia"/>
                <w:color w:val="auto"/>
                <w:szCs w:val="28"/>
                <w:lang w:val="en-US" w:eastAsia="zh-CN"/>
              </w:rPr>
            </w:pPr>
            <w:r>
              <w:rPr>
                <w:rFonts w:hint="eastAsia" w:cs="Times New Roman" w:asciiTheme="minorEastAsia" w:hAnsiTheme="minorEastAsia"/>
                <w:color w:val="auto"/>
                <w:szCs w:val="28"/>
                <w:lang w:val="en-US" w:eastAsia="zh-CN"/>
              </w:rPr>
              <w:t xml:space="preserve">每卷重量：10Kg/卷（自身净重，不含轴重、外包装等）</w:t>
            </w:r>
            <w:r/>
          </w:p>
          <w:p>
            <w:pPr>
              <w:ind w:firstLine="1680"/>
              <w:jc w:val="both"/>
              <w:rPr>
                <w:rFonts w:hint="default" w:ascii="宋体" w:hAnsi="宋体" w:eastAsia="宋体" w:cs="宋体"/>
                <w:color w:val="auto"/>
                <w:szCs w:val="28"/>
                <w:highlight w:val="none"/>
                <w:lang w:val="en-US"/>
              </w:rPr>
            </w:pPr>
            <w:r>
              <w:rPr>
                <w:rFonts w:hint="eastAsia" w:cs="Times New Roman" w:asciiTheme="minorEastAsia" w:hAnsiTheme="minorEastAsia"/>
                <w:color w:val="auto"/>
                <w:szCs w:val="28"/>
                <w:lang w:val="en-US" w:eastAsia="zh-CN"/>
              </w:rPr>
              <w:t xml:space="preserve">颜色：银灰色</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90"/>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left"/>
              <w:rPr>
                <w:rFonts w:hint="eastAsia" w:eastAsia="宋体"/>
                <w:color w:val="000000" w:themeColor="text1"/>
                <w:lang w:eastAsia="zh-CN"/>
                <w14:textFill>
                  <w14:solidFill>
                    <w14:schemeClr w14:val="tx1"/>
                  </w14:solidFill>
                </w14:textFill>
              </w:rPr>
            </w:pPr>
            <w:r>
              <w:rPr>
                <w:rFonts w:asciiTheme="minorEastAsia" w:hAnsiTheme="minorEastAsia" w:eastAsiaTheme="minorEastAsia" w:cstheme="majorBidi"/>
                <w:b/>
                <w:bCs/>
                <w:color w:val="000000"/>
                <w:szCs w:val="28"/>
              </w:rPr>
              <w:t xml:space="preserve">技术指标</w:t>
            </w:r>
            <w:r>
              <w:rPr>
                <w:rFonts w:hint="eastAsia" w:asciiTheme="minorEastAsia" w:hAnsiTheme="minorEastAsia" w:eastAsiaTheme="minorEastAsia" w:cstheme="majorBidi"/>
                <w:b/>
                <w:bCs/>
                <w:color w:val="000000"/>
                <w:szCs w:val="28"/>
                <w:lang w:eastAsia="zh-CN"/>
              </w:rPr>
              <w:t xml:space="preserve">：</w:t>
            </w:r>
            <w:r>
              <w:rPr>
                <w:rFonts w:hint="eastAsia"/>
                <w:color w:val="000000" w:themeColor="text1"/>
                <w14:textFill>
                  <w14:solidFill>
                    <w14:schemeClr w14:val="tx1"/>
                  </w14:solidFill>
                </w14:textFill>
              </w:rPr>
              <w:t xml:space="preserve">拉伸负荷(纵、横向)≥</w:t>
            </w:r>
            <w:r>
              <w:rPr>
                <w:rFonts w:hint="eastAsia"/>
                <w:color w:val="000000" w:themeColor="text1"/>
                <w:lang w:val="en-US" w:eastAsia="zh-CN"/>
                <w14:textFill>
                  <w14:solidFill>
                    <w14:schemeClr w14:val="tx1"/>
                  </w14:solidFill>
                </w14:textFill>
              </w:rPr>
              <w:t xml:space="preserve">1.6</w:t>
            </w:r>
            <w:r>
              <w:rPr>
                <w:rFonts w:hint="eastAsia"/>
                <w:color w:val="000000" w:themeColor="text1"/>
                <w14:textFill>
                  <w14:solidFill>
                    <w14:schemeClr w14:val="tx1"/>
                  </w14:solidFill>
                </w14:textFill>
              </w:rPr>
              <w:t xml:space="preserve">N</w:t>
            </w:r>
            <w:r>
              <w:rPr>
                <w:rFonts w:hint="eastAsia" w:eastAsia="宋体"/>
                <w:color w:val="000000" w:themeColor="text1"/>
                <w:lang w:eastAsia="zh-CN"/>
                <w14:textFill>
                  <w14:solidFill>
                    <w14:schemeClr w14:val="tx1"/>
                  </w14:solidFill>
                </w14:textFill>
              </w:rPr>
              <w:t xml:space="preserve">；</w:t>
            </w:r>
            <w:r/>
          </w:p>
          <w:p>
            <w:pPr>
              <w:ind w:firstLine="1050"/>
              <w:jc w:val="left"/>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大断裂标称应变(纵、横向)≥</w:t>
            </w:r>
            <w:r>
              <w:rPr>
                <w:rFonts w:hint="eastAsia"/>
                <w:color w:val="000000" w:themeColor="text1"/>
                <w:lang w:val="en-US" w:eastAsia="zh-CN"/>
                <w14:textFill>
                  <w14:solidFill>
                    <w14:schemeClr w14:val="tx1"/>
                  </w14:solidFill>
                </w14:textFill>
              </w:rPr>
              <w:t xml:space="preserve">260</w:t>
            </w:r>
            <w:r>
              <w:rPr>
                <w:rFonts w:hint="eastAsia"/>
                <w:color w:val="000000" w:themeColor="text1"/>
                <w14:textFill>
                  <w14:solidFill>
                    <w14:schemeClr w14:val="tx1"/>
                  </w14:solidFill>
                </w14:textFill>
              </w:rPr>
              <w:t xml:space="preserve">%</w:t>
            </w:r>
            <w:r>
              <w:rPr>
                <w:rFonts w:hint="eastAsia" w:eastAsia="宋体"/>
                <w:color w:val="000000" w:themeColor="text1"/>
                <w:lang w:eastAsia="zh-CN"/>
                <w14:textFill>
                  <w14:solidFill>
                    <w14:schemeClr w14:val="tx1"/>
                  </w14:solidFill>
                </w14:textFill>
              </w:rPr>
              <w:t xml:space="preserve">；</w:t>
            </w:r>
            <w:r/>
          </w:p>
          <w:p>
            <w:pPr>
              <w:ind w:firstLine="1050"/>
              <w:jc w:val="left"/>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直角撕裂负荷(纵、横向)≥</w:t>
            </w:r>
            <w:r>
              <w:rPr>
                <w:rFonts w:hint="eastAsia"/>
                <w:color w:val="000000" w:themeColor="text1"/>
                <w:lang w:val="en-US" w:eastAsia="zh-CN"/>
                <w14:textFill>
                  <w14:solidFill>
                    <w14:schemeClr w14:val="tx1"/>
                  </w14:solidFill>
                </w14:textFill>
              </w:rPr>
              <w:t xml:space="preserve">1.2</w:t>
            </w:r>
            <w:r>
              <w:rPr>
                <w:rFonts w:hint="eastAsia"/>
                <w:color w:val="000000" w:themeColor="text1"/>
                <w14:textFill>
                  <w14:solidFill>
                    <w14:schemeClr w14:val="tx1"/>
                  </w14:solidFill>
                </w14:textFill>
              </w:rPr>
              <w:t xml:space="preserve">N</w:t>
            </w:r>
            <w:r>
              <w:rPr>
                <w:rFonts w:hint="eastAsia" w:eastAsia="宋体"/>
                <w:color w:val="000000" w:themeColor="text1"/>
                <w:lang w:eastAsia="zh-CN"/>
                <w14:textFill>
                  <w14:solidFill>
                    <w14:schemeClr w14:val="tx1"/>
                  </w14:solidFill>
                </w14:textFill>
              </w:rPr>
              <w:t xml:space="preserve">；</w:t>
            </w:r>
            <w:r/>
          </w:p>
          <w:p>
            <w:pPr>
              <w:ind w:left="0" w:firstLine="0"/>
              <w:jc w:val="left"/>
              <w:rPr>
                <w:rFonts w:hint="eastAsia" w:ascii="宋体" w:hAnsi="宋体" w:eastAsia="宋体" w:cs="宋体"/>
                <w:color w:val="auto"/>
                <w:szCs w:val="28"/>
                <w:highlight w:val="none"/>
              </w:rPr>
            </w:pPr>
            <w:r>
              <w:rPr>
                <w:rFonts w:hint="eastAsia"/>
                <w:color w:val="000000" w:themeColor="text1"/>
                <w14:textFill>
                  <w14:solidFill>
                    <w14:schemeClr w14:val="tx1"/>
                  </w14:solidFill>
                </w14:textFill>
              </w:rPr>
              <w:t xml:space="preserve">外观方面:地膜不应有影响使用的气泡、杂质、条纹、穿孔、褶皱等缺陷，膜卷应卷绕整齐，不应有明显的暴筋。</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509"/>
        </w:trPr>
        <w:tc>
          <w:tcPr>
            <w:tcW w:w="22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center"/>
              <w:rPr>
                <w:rFonts w:hint="eastAsia" w:ascii="宋体" w:hAnsi="宋体" w:eastAsia="宋体" w:cs="宋体"/>
                <w:color w:val="auto"/>
                <w:szCs w:val="28"/>
                <w:highlight w:val="none"/>
              </w:rPr>
            </w:pPr>
            <w:r>
              <w:rPr>
                <w:rFonts w:hint="eastAsia" w:cs="Times New Roman" w:asciiTheme="minorEastAsia" w:hAnsiTheme="minorEastAsia" w:eastAsiaTheme="minorEastAsia"/>
                <w:color w:val="auto"/>
                <w:szCs w:val="28"/>
              </w:rPr>
              <w:t xml:space="preserve">售后服务期限：1年。</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bl>
    <w:p>
      <w:pPr>
        <w:ind w:firstLine="420"/>
        <w:jc w:val="left"/>
        <w:keepLines/>
        <w:keepNex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说明：证明材料有要求的按要求提供证明材料，没有要求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p>
      <w:pPr>
        <w:pStyle w:val="697"/>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highlight w:val="none"/>
        </w:rPr>
        <w:t xml:space="preserve">四、商务条款</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bookmarkStart w:id="187" w:name="OLE_LINK41"/>
      <w:r>
        <w:rPr>
          <w:rFonts w:hint="eastAsia" w:ascii="宋体" w:hAnsi="宋体" w:eastAsia="宋体" w:cs="宋体"/>
          <w:color w:val="auto"/>
          <w:szCs w:val="21"/>
          <w:highlight w:val="none"/>
        </w:rPr>
        <w:t xml:space="preserve">供货期：</w:t>
      </w:r>
      <w:bookmarkEnd w:id="187"/>
      <w:r>
        <w:rPr>
          <w:rFonts w:hint="eastAsia" w:ascii="宋体" w:hAnsi="宋体" w:eastAsia="宋体" w:cs="宋体"/>
          <w:color w:val="auto"/>
          <w:szCs w:val="21"/>
          <w:highlight w:val="none"/>
        </w:rPr>
        <w:t xml:space="preserve">合同签订之日起</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个月内完成供货</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bookmarkStart w:id="188" w:name="OLE_LINK42"/>
      <w:r>
        <w:rPr>
          <w:rFonts w:hint="eastAsia" w:ascii="宋体" w:hAnsi="宋体" w:eastAsia="宋体" w:cs="宋体"/>
          <w:color w:val="auto"/>
          <w:szCs w:val="21"/>
          <w:highlight w:val="none"/>
        </w:rPr>
        <w:t xml:space="preserve">2、包装运输要求：</w:t>
      </w:r>
      <w:r/>
    </w:p>
    <w:p>
      <w:pPr>
        <w:ind w:firstLine="240"/>
        <w:spacing w:line="360" w:lineRule="auto"/>
        <w:rPr>
          <w:rFonts w:hint="eastAsia" w:ascii="宋体" w:hAnsi="宋体" w:eastAsia="宋体" w:cs="宋体"/>
          <w:color w:val="auto"/>
          <w:szCs w:val="21"/>
          <w:highlight w:val="none"/>
        </w:rPr>
      </w:pPr>
      <w:r/>
      <w:bookmarkStart w:id="189" w:name="OLE_LINK43"/>
      <w:r>
        <w:rPr>
          <w:rFonts w:hint="eastAsia" w:ascii="宋体" w:hAnsi="宋体" w:eastAsia="宋体" w:cs="宋体"/>
          <w:color w:val="auto"/>
          <w:szCs w:val="21"/>
          <w:highlight w:val="none"/>
        </w:rPr>
        <w:t xml:space="preserve">（1）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bookmarkEnd w:id="189"/>
      <w:r/>
      <w:r/>
    </w:p>
    <w:p>
      <w:pPr>
        <w:ind w:firstLine="240"/>
        <w:spacing w:line="360" w:lineRule="auto"/>
        <w:rPr>
          <w:rFonts w:hint="eastAsia" w:ascii="宋体" w:hAnsi="宋体" w:eastAsia="宋体" w:cs="宋体"/>
          <w:color w:val="auto"/>
          <w:szCs w:val="21"/>
          <w:highlight w:val="none"/>
        </w:rPr>
      </w:pPr>
      <w:r/>
      <w:bookmarkStart w:id="190" w:name="OLE_LINK44"/>
      <w:r>
        <w:rPr>
          <w:rFonts w:hint="eastAsia" w:ascii="宋体" w:hAnsi="宋体" w:eastAsia="宋体" w:cs="宋体"/>
          <w:color w:val="auto"/>
          <w:szCs w:val="21"/>
          <w:highlight w:val="none"/>
        </w:rPr>
        <w:t xml:space="preserve">（2）投标人应按合同中规定的时间和地点、采购人提供的交货明细清单中地膜规格和数量的要求直接运输至采购人指定地点交付货物。送货地点分散，数量规格较多，投标人需配备专业的运输车辆及熟悉投标产品的相关配送货的人员。</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（3）投标人在本项目实施过程中，达到安全无事故。若造成任何安全事故等不良后果，由投标人负责。在项目实施过程中涉及的有关矛盾由投标人自主解决，采购人负责协调。</w:t>
      </w:r>
      <w:bookmarkEnd w:id="188"/>
      <w:r/>
      <w:bookmarkEnd w:id="190"/>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3、质保及售后服务要求： </w:t>
      </w:r>
      <w:r/>
    </w:p>
    <w:p>
      <w:pPr>
        <w:ind w:firstLine="240"/>
        <w:spacing w:line="360" w:lineRule="auto"/>
        <w:rPr>
          <w:rFonts w:hint="eastAsia" w:ascii="宋体" w:hAnsi="宋体" w:eastAsia="宋体" w:cs="宋体"/>
          <w:color w:val="auto"/>
          <w:szCs w:val="21"/>
          <w:highlight w:val="none"/>
        </w:rPr>
      </w:pPr>
      <w:r/>
      <w:bookmarkStart w:id="191" w:name="OLE_LINK45"/>
      <w:r>
        <w:rPr>
          <w:rFonts w:hint="eastAsia" w:ascii="宋体" w:hAnsi="宋体" w:eastAsia="宋体" w:cs="宋体"/>
          <w:color w:val="auto"/>
          <w:szCs w:val="21"/>
          <w:highlight w:val="none"/>
        </w:rPr>
        <w:t xml:space="preserve">（1）质保期：产品验收合格使用之日起1年。在质保期内该产品出现任何质量问题（人为除外），中标人须无条件更换，由此产生的所有费用由投标人承担。</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（2）投标人提供24小时售后服务，并提供专门负责人联系电话。投标人在接到电话后，2小时内响应，48小时以内到达现场处理，由此产生的所有费用由投标人承担。</w:t>
      </w:r>
      <w:bookmarkEnd w:id="191"/>
      <w:r>
        <w:rPr>
          <w:rFonts w:hint="eastAsia" w:ascii="宋体" w:hAnsi="宋体" w:eastAsia="宋体" w:cs="宋体"/>
          <w:color w:val="auto"/>
          <w:szCs w:val="21"/>
          <w:highlight w:val="none"/>
        </w:rPr>
        <w:t xml:space="preserve"> </w:t>
      </w:r>
      <w:r/>
    </w:p>
    <w:p>
      <w:pPr>
        <w:ind w:firstLine="240"/>
        <w:spacing w:line="360" w:lineRule="auto"/>
        <w:rPr>
          <w:rFonts w:hint="eastAsia" w:ascii="宋体" w:hAnsi="宋体" w:eastAsia="宋体" w:cs="宋体"/>
          <w:color w:val="auto"/>
          <w:szCs w:val="21"/>
          <w:highlight w:val="none"/>
        </w:rPr>
      </w:pPr>
      <w:r/>
      <w:bookmarkStart w:id="192" w:name="OLE_LINK46"/>
      <w:r>
        <w:rPr>
          <w:rFonts w:hint="eastAsia" w:ascii="宋体" w:hAnsi="宋体" w:eastAsia="宋体" w:cs="宋体"/>
          <w:color w:val="auto"/>
          <w:szCs w:val="21"/>
          <w:highlight w:val="none"/>
        </w:rPr>
        <w:t xml:space="preserve">（3）在产品使用期间，投标人应提供专业的培训服务，并免费提供关于详尽的培训材料，指导农户的使用培训不少于2次（每次不少于2小时）。一般技术培训不得限制人数。</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（4）投标人应保证，如能中标，采购人在使用中标货物时，免受第三方提出的侵犯其专利权、商标权或工业设计权的起诉。</w:t>
      </w:r>
      <w:bookmarkEnd w:id="192"/>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5</w:t>
      </w:r>
      <w:r>
        <w:rPr>
          <w:rFonts w:hint="eastAsia" w:ascii="宋体" w:hAnsi="宋体" w:eastAsia="宋体" w:cs="宋体"/>
          <w:color w:val="auto"/>
          <w:szCs w:val="21"/>
          <w:highlight w:val="yellow"/>
        </w:rPr>
        <w:t xml:space="preserve">）中标后所供应的产品进行抽检，检测费用由中标单位支付，如发现不符合，可中止合同。</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6</w:t>
      </w:r>
      <w:r>
        <w:rPr>
          <w:rFonts w:hint="eastAsia" w:ascii="宋体" w:hAnsi="宋体" w:eastAsia="宋体" w:cs="宋体"/>
          <w:color w:val="auto"/>
          <w:szCs w:val="21"/>
          <w:highlight w:val="yellow"/>
        </w:rPr>
        <w:t xml:space="preserve">）签订合同前应要求中标企业签署《产品质量责任保证书》。</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4、验收要求：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（4）当出现货物损坏、数量不全、规格不符等问题时，由投标人负责解决。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（5）货物验收通过后，由采购人开具到货验收单，一式三份，采购人、各镇（区、街道）项目对接负责人、投标人各执一份。</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产品使用过程中，采购人可根据实际使用农户反馈的情况对产品质量进行抽检，投标人、采购人双方共同协商指定一家权威机构进行检测，投标人承担所有检测费用。如检测结果不符合国家标准要求，则由投标人和农户协商赔偿事宜。</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（7）验收情况作为支付货款的依据。</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注：对采购需求部分的询问、质疑请向采购人提出，询问、质疑由采购人负责解释。</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本部分标注“★”实质性要求，必须响应，不允许负偏离，否则作为无效投标处理。</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keepNext w:val="0"/>
        <w:spacing w:line="360" w:lineRule="auto"/>
        <w:rPr>
          <w:rFonts w:hint="eastAsia" w:ascii="宋体" w:hAnsi="宋体" w:eastAsia="宋体" w:cs="宋体"/>
          <w:color w:val="auto"/>
          <w:highlight w:val="none"/>
        </w:rPr>
      </w:pPr>
      <w:r/>
      <w:bookmarkStart w:id="193" w:name="_Toc4295"/>
      <w:r/>
      <w:bookmarkStart w:id="194" w:name="_Toc255"/>
      <w:r/>
      <w:bookmarkStart w:id="195" w:name="_Toc22066"/>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分包二：</w:t>
      </w:r>
      <w:r/>
    </w:p>
    <w:p>
      <w:pPr>
        <w:ind w:firstLine="883"/>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2"/>
          <w:szCs w:val="22"/>
          <w:highlight w:val="none"/>
        </w:rPr>
        <w:t xml:space="preserve">说明：</w:t>
      </w:r>
      <w:r>
        <w:rPr>
          <w:rFonts w:hint="eastAsia" w:ascii="宋体" w:hAnsi="宋体" w:eastAsia="宋体" w:cs="宋体"/>
          <w:color w:val="auto"/>
          <w:sz w:val="22"/>
          <w:szCs w:val="22"/>
          <w:highlight w:val="none"/>
        </w:rPr>
        <w:t xml:space="preserve">本项目属性为</w:t>
      </w:r>
      <w:r>
        <w:rPr>
          <w:rFonts w:hint="eastAsia" w:ascii="宋体" w:hAnsi="宋体" w:eastAsia="宋体" w:cs="宋体"/>
          <w:b/>
          <w:bCs/>
          <w:color w:val="auto"/>
          <w:sz w:val="22"/>
          <w:szCs w:val="22"/>
          <w:highlight w:val="none"/>
        </w:rPr>
        <w:t xml:space="preserve">货物</w:t>
      </w:r>
      <w:r>
        <w:rPr>
          <w:rFonts w:hint="eastAsia" w:ascii="宋体" w:hAnsi="宋体" w:eastAsia="宋体" w:cs="宋体"/>
          <w:color w:val="auto"/>
          <w:sz w:val="22"/>
          <w:szCs w:val="22"/>
          <w:highlight w:val="none"/>
        </w:rPr>
        <w:t xml:space="preserve">采购，采购标的对应的中小企业划分标准所属行业为</w:t>
      </w:r>
      <w:r>
        <w:rPr>
          <w:rFonts w:hint="eastAsia" w:ascii="宋体" w:hAnsi="宋体" w:eastAsia="宋体" w:cs="宋体"/>
          <w:b/>
          <w:bCs/>
          <w:color w:val="auto"/>
          <w:sz w:val="22"/>
          <w:szCs w:val="22"/>
          <w:highlight w:val="none"/>
        </w:rPr>
        <w:t xml:space="preserve">工业</w:t>
      </w:r>
      <w:r>
        <w:rPr>
          <w:rFonts w:hint="eastAsia" w:ascii="宋体" w:hAnsi="宋体" w:eastAsia="宋体" w:cs="宋体"/>
          <w:color w:val="auto"/>
          <w:sz w:val="22"/>
          <w:szCs w:val="22"/>
          <w:highlight w:val="none"/>
        </w:rPr>
        <w:t xml:space="preserve">。</w:t>
      </w:r>
      <w:r/>
    </w:p>
    <w:p>
      <w:pPr>
        <w:ind w:firstLine="79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一、本项目需求中标注★号的部分为实质性要求和条件，供应商必须作出满足或者优于原要求和条件的响应，否则作无效响应处理。</w:t>
      </w:r>
      <w:r/>
    </w:p>
    <w:p>
      <w:pPr>
        <w:pStyle w:val="697"/>
        <w:ind w:firstLine="20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二</w:t>
      </w:r>
      <w:r>
        <w:rPr>
          <w:rFonts w:hint="eastAsia" w:ascii="宋体" w:hAnsi="宋体" w:eastAsia="宋体" w:cs="宋体"/>
          <w:b/>
          <w:bCs/>
          <w:color w:val="auto"/>
          <w:sz w:val="24"/>
          <w:szCs w:val="24"/>
          <w:highlight w:val="none"/>
        </w:rPr>
        <w:t xml:space="preserve">、采购清单</w:t>
      </w:r>
      <w:r/>
    </w:p>
    <w:tbl>
      <w:tblPr>
        <w:tblStyle w:val="689"/>
        <w:tblpPr w:horzAnchor="page" w:tblpXSpec="center" w:vertAnchor="text" w:tblpY="691" w:leftFromText="180" w:topFromText="0" w:rightFromText="180" w:bottomFromText="0"/>
        <w:tblW w:w="10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985"/>
        <w:gridCol w:w="1559"/>
        <w:gridCol w:w="2163"/>
        <w:gridCol w:w="1806"/>
        <w:gridCol w:w="1075"/>
      </w:tblGrid>
      <w:tr>
        <w:trPr>
          <w:jc w:val="center"/>
          <w:trHeight w:val="557"/>
        </w:trPr>
        <w:tc>
          <w:tcPr>
            <w:tcW w:w="16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序号</w:t>
            </w:r>
            <w:r/>
          </w:p>
        </w:tc>
        <w:tc>
          <w:tcPr>
            <w:tcW w:w="198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采购产品</w:t>
            </w:r>
            <w:r/>
          </w:p>
        </w:tc>
        <w:tc>
          <w:tcPr>
            <w:tcW w:w="1559"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计量单位</w:t>
            </w:r>
            <w:r/>
          </w:p>
        </w:tc>
        <w:tc>
          <w:tcPr>
            <w:tcW w:w="216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最高单价限价（元）</w:t>
            </w:r>
            <w:r/>
          </w:p>
        </w:tc>
        <w:tc>
          <w:tcPr>
            <w:tcW w:w="180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是否进口产品</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66" w:hRule="exact"/>
        </w:trPr>
        <w:tc>
          <w:tcPr>
            <w:tcW w:w="164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98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全生物降解地膜</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吨</w:t>
            </w:r>
            <w:r/>
          </w:p>
        </w:tc>
        <w:tc>
          <w:tcPr>
            <w:tcW w:w="216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000.00</w:t>
            </w:r>
            <w:r/>
          </w:p>
        </w:tc>
        <w:tc>
          <w:tcPr>
            <w:tcW w:w="18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否</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本项目采用</w:t>
      </w:r>
      <w:r>
        <w:rPr>
          <w:rFonts w:hint="eastAsia" w:ascii="宋体" w:hAnsi="宋体" w:eastAsia="宋体" w:cs="宋体"/>
          <w:b/>
          <w:color w:val="auto"/>
          <w:szCs w:val="21"/>
          <w:highlight w:val="none"/>
          <w:u w:val="single"/>
        </w:rPr>
        <w:t xml:space="preserve">单价报价</w:t>
      </w:r>
      <w:r>
        <w:rPr>
          <w:rFonts w:hint="eastAsia" w:ascii="宋体" w:hAnsi="宋体" w:eastAsia="宋体" w:cs="宋体"/>
          <w:bCs/>
          <w:color w:val="auto"/>
          <w:szCs w:val="21"/>
          <w:highlight w:val="none"/>
        </w:rPr>
        <w:t xml:space="preserve">方式，投标报价高于限价(单价)的投价文件视为无效投价文件。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本项目供货数量以最终实际需求数量为准。</w:t>
      </w:r>
      <w:r/>
    </w:p>
    <w:p>
      <w:pPr>
        <w:pStyle w:val="697"/>
        <w:ind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三、产品技术指标和要求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color w:val="auto"/>
          <w:sz w:val="24"/>
          <w:highlight w:val="none"/>
        </w:rPr>
        <w:t xml:space="preserve">采购清单及技术参数要求</w:t>
      </w:r>
      <w:r/>
    </w:p>
    <w:tbl>
      <w:tblPr>
        <w:tblStyle w:val="973"/>
        <w:tblW w:w="10326" w:type="dxa"/>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50"/>
        <w:gridCol w:w="6653"/>
        <w:gridCol w:w="1423"/>
      </w:tblGrid>
      <w:tr>
        <w:trPr>
          <w:trHeight w:val="682"/>
        </w:trPr>
        <w:tc>
          <w:tcPr>
            <w:tcW w:w="2250" w:type="dxa"/>
            <w:vAlign w:val="center"/>
            <w:textDirection w:val="lrTb"/>
            <w:noWrap w:val="false"/>
          </w:tcPr>
          <w:p>
            <w:pPr>
              <w:jc w:val="center"/>
            </w:pPr>
            <w:r/>
            <w:r/>
          </w:p>
          <w:p>
            <w:pPr>
              <w:jc w:val="center"/>
              <w:rPr>
                <w:rFonts w:hint="eastAsia" w:ascii="宋体" w:hAnsi="宋体" w:eastAsia="宋体" w:cs="宋体"/>
                <w:color w:val="auto"/>
                <w:highlight w:val="none"/>
              </w:rPr>
            </w:pPr>
            <w:r>
              <w:t xml:space="preserve">名称</w:t>
            </w:r>
            <w:r/>
          </w:p>
        </w:tc>
        <w:tc>
          <w:tcPr>
            <w:tcW w:w="6653" w:type="dxa"/>
            <w:vAlign w:val="center"/>
            <w:textDirection w:val="lrTb"/>
            <w:noWrap w:val="false"/>
          </w:tcPr>
          <w:p>
            <w:pPr>
              <w:jc w:val="center"/>
              <w:rPr>
                <w:rFonts w:hint="eastAsia" w:ascii="宋体" w:hAnsi="宋体" w:eastAsia="宋体" w:cs="宋体"/>
                <w:color w:val="auto"/>
                <w:highlight w:val="none"/>
              </w:rPr>
            </w:pPr>
            <w:r>
              <w:rPr>
                <w:sz w:val="22"/>
                <w:szCs w:val="22"/>
              </w:rPr>
              <w:t xml:space="preserve">技术规格</w:t>
            </w:r>
            <w:r/>
          </w:p>
        </w:tc>
        <w:tc>
          <w:tcPr>
            <w:tcW w:w="1423" w:type="dxa"/>
            <w:vAlign w:val="center"/>
            <w:textDirection w:val="lrTb"/>
            <w:noWrap w:val="false"/>
          </w:tcPr>
          <w:p>
            <w:pPr>
              <w:jc w:val="center"/>
            </w:pPr>
            <w:r>
              <w:t xml:space="preserve">最高限价 </w:t>
            </w:r>
            <w:r/>
          </w:p>
          <w:p>
            <w:pPr>
              <w:jc w:val="center"/>
              <w:rPr>
                <w:color w:val="auto"/>
                <w:highlight w:val="none"/>
              </w:rPr>
            </w:pPr>
            <w:r>
              <w:t xml:space="preserve"> (元/吨)</w:t>
            </w:r>
            <w:r/>
          </w:p>
        </w:tc>
      </w:tr>
      <w:tr>
        <w:trPr>
          <w:trHeight w:val="717"/>
        </w:trPr>
        <w:tc>
          <w:tcPr>
            <w:shd w:val="clear" w:color="auto" w:fill="auto"/>
            <w:tcW w:w="2250" w:type="dxa"/>
            <w:vAlign w:val="center"/>
            <w:vMerge w:val="restart"/>
            <w:textDirection w:val="lrTb"/>
            <w:noWrap w:val="false"/>
          </w:tcPr>
          <w:p>
            <w:pPr>
              <w:jc w:val="center"/>
              <w:rPr>
                <w:rFonts w:hint="eastAsia" w:cs="Times New Roman" w:asciiTheme="minorEastAsia" w:hAnsiTheme="minorEastAsia" w:eastAsiaTheme="majorEastAsia"/>
                <w:bCs/>
                <w:color w:val="000000" w:themeColor="text1"/>
                <w:szCs w:val="28"/>
                <w14:textFill>
                  <w14:solidFill>
                    <w14:schemeClr w14:val="tx1"/>
                  </w14:solidFill>
                </w14:textFill>
              </w:rPr>
            </w:pPr>
            <w:r>
              <w:rPr>
                <w:rFonts w:hint="eastAsia" w:cs="Times New Roman" w:asciiTheme="minorEastAsia" w:hAnsiTheme="minorEastAsia" w:eastAsiaTheme="majorEastAsia"/>
                <w:b/>
                <w:bCs w:val="0"/>
                <w:color w:val="000000" w:themeColor="text1"/>
                <w:szCs w:val="28"/>
                <w14:textFill>
                  <w14:solidFill>
                    <w14:schemeClr w14:val="tx1"/>
                  </w14:solidFill>
                </w14:textFill>
              </w:rPr>
              <w:t xml:space="preserve">全生物降解地膜</w:t>
            </w:r>
            <w:r>
              <w:rPr>
                <w:rFonts w:hint="eastAsia" w:eastAsia="宋体"/>
                <w:lang w:eastAsia="zh-CN"/>
              </w:rPr>
              <w:t xml:space="preserve"> </w:t>
            </w:r>
            <w:r/>
          </w:p>
          <w:p>
            <w:pPr>
              <w:jc w:val="center"/>
              <w:rPr>
                <w:rFonts w:hint="eastAsia" w:eastAsia="宋体"/>
                <w:lang w:eastAsia="zh-CN"/>
              </w:rPr>
            </w:pPr>
            <w:r>
              <w:rPr>
                <w:rFonts w:hint="eastAsia" w:eastAsia="宋体"/>
                <w:lang w:eastAsia="zh-CN"/>
              </w:rPr>
              <w:t xml:space="preserve"> </w:t>
            </w:r>
            <w:r/>
          </w:p>
          <w:p>
            <w:pPr>
              <w:jc w:val="center"/>
              <w:rPr>
                <w:rFonts w:hint="eastAsia" w:ascii="Arial" w:hAnsi="Arial" w:eastAsia="宋体" w:cs="Arial"/>
                <w:color w:val="000000"/>
                <w:sz w:val="21"/>
                <w:szCs w:val="21"/>
                <w:lang w:val="en-US" w:eastAsia="zh-CN" w:bidi="ar-SA"/>
              </w:rPr>
            </w:pPr>
            <w:r>
              <w:rPr>
                <w:rFonts w:hint="eastAsia" w:eastAsia="宋体"/>
                <w:lang w:val="en-US" w:eastAsia="zh-CN"/>
              </w:rPr>
              <w:t xml:space="preserve"> </w:t>
            </w:r>
            <w:r/>
          </w:p>
          <w:p>
            <w:pPr>
              <w:jc w:val="center"/>
              <w:rPr>
                <w:rFonts w:hint="eastAsia" w:ascii="Arial" w:hAnsi="Arial" w:eastAsia="宋体" w:cs="Arial"/>
                <w:color w:val="000000"/>
                <w:sz w:val="21"/>
                <w:szCs w:val="21"/>
                <w:lang w:val="en-US" w:eastAsia="zh-CN" w:bidi="ar-SA"/>
              </w:rPr>
            </w:pPr>
            <w:r>
              <w:rPr>
                <w:rFonts w:hint="eastAsia" w:eastAsia="宋体"/>
                <w:lang w:val="en-US" w:eastAsia="zh-CN"/>
              </w:rPr>
              <w:t xml:space="preserve"> </w:t>
            </w:r>
            <w:r/>
          </w:p>
          <w:p>
            <w:pPr>
              <w:jc w:val="center"/>
              <w:rPr>
                <w:rFonts w:hint="eastAsia" w:ascii="宋体" w:hAnsi="宋体" w:eastAsia="宋体" w:cs="宋体"/>
                <w:color w:val="auto"/>
                <w:highlight w:val="none"/>
                <w:lang w:val="en-US" w:eastAsia="zh-CN"/>
              </w:rPr>
            </w:pPr>
            <w:r>
              <w:rPr>
                <w:rFonts w:hint="eastAsia" w:eastAsia="宋体"/>
                <w:lang w:val="en-US" w:eastAsia="zh-CN"/>
              </w:rPr>
              <w:t xml:space="preserve"> </w:t>
            </w:r>
            <w:r/>
          </w:p>
        </w:tc>
        <w:tc>
          <w:tcPr>
            <w:shd w:val="clear" w:color="auto" w:fill="auto"/>
            <w:tcW w:w="6653" w:type="dxa"/>
            <w:vAlign w:val="center"/>
            <w:textDirection w:val="lrTb"/>
            <w:noWrap w:val="false"/>
          </w:tcPr>
          <w:p>
            <w:pPr>
              <w:jc w:val="left"/>
              <w:rPr>
                <w:rFonts w:hint="eastAsia" w:cs="Times New Roman" w:asciiTheme="minorEastAsia" w:hAnsiTheme="minorEastAsia" w:eastAsiaTheme="minorEastAsia"/>
                <w:bCs/>
                <w:color w:val="auto"/>
                <w:szCs w:val="28"/>
                <w:lang w:val="en-US" w:eastAsia="zh-CN"/>
              </w:rPr>
            </w:pPr>
            <w:r>
              <w:rPr>
                <w:rFonts w:asciiTheme="minorEastAsia" w:hAnsiTheme="minorEastAsia" w:eastAsiaTheme="minorEastAsia" w:cstheme="majorBidi"/>
                <w:b/>
                <w:bCs/>
                <w:color w:val="000000"/>
                <w:szCs w:val="28"/>
              </w:rPr>
              <w:t xml:space="preserve">执行标准</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bCs/>
                <w:color w:val="auto"/>
                <w:szCs w:val="28"/>
                <w:highlight w:val="yellow"/>
              </w:rPr>
              <w:t xml:space="preserve">严格按照GB/T35795-2017国家标准要求生产、包装及运输，所有技术、质量指标完全符合GB/T35795-2017国家标准。投标企业提供符合国标的相关检测报告，严防把光降解地膜和热氧降解地膜冒充全生物降解地膜现象。</w:t>
            </w:r>
            <w:r/>
          </w:p>
        </w:tc>
        <w:tc>
          <w:tcPr>
            <w:shd w:val="clear" w:color="auto" w:fill="auto"/>
            <w:tcW w:w="1423" w:type="dxa"/>
            <w:vAlign w:val="center"/>
            <w:vMerge w:val="restart"/>
            <w:textDirection w:val="lrTb"/>
            <w:noWrap w:val="false"/>
          </w:tcPr>
          <w:p>
            <w:pPr>
              <w:jc w:val="center"/>
              <w:keepLines w:val="0"/>
              <w:keepNext w:val="0"/>
              <w:widowControl/>
              <w:rPr>
                <w:rFonts w:hint="default" w:ascii="Arial" w:hAnsi="Arial" w:eastAsia="宋体" w:cs="Arial"/>
                <w:color w:val="auto"/>
                <w:sz w:val="21"/>
                <w:szCs w:val="21"/>
                <w:highlight w:val="none"/>
                <w:lang w:val="en-US" w:eastAsia="zh-CN" w:bidi="ar-SA"/>
              </w:rPr>
              <w:suppressLineNumbers w:val="0"/>
            </w:pPr>
            <w:r>
              <w:rPr>
                <w:rFonts w:hint="eastAsia" w:eastAsia="宋体" w:cs="Arial"/>
                <w:color w:val="000000"/>
                <w:sz w:val="21"/>
                <w:szCs w:val="21"/>
                <w:lang w:val="en-US" w:eastAsia="zh-CN" w:bidi="ar-SA"/>
              </w:rPr>
              <w:t xml:space="preserve">2</w:t>
            </w:r>
            <w:r>
              <w:rPr>
                <w:rFonts w:hint="eastAsia" w:cs="Arial"/>
                <w:color w:val="000000"/>
                <w:sz w:val="21"/>
                <w:szCs w:val="21"/>
                <w:lang w:val="en-US" w:eastAsia="zh-CN" w:bidi="ar-SA"/>
              </w:rPr>
              <w:t xml:space="preserve">5</w:t>
            </w:r>
            <w:r>
              <w:rPr>
                <w:rFonts w:hint="eastAsia" w:eastAsia="宋体" w:cs="Arial"/>
                <w:color w:val="000000"/>
                <w:sz w:val="21"/>
                <w:szCs w:val="21"/>
                <w:lang w:val="en-US" w:eastAsia="zh-CN" w:bidi="ar-SA"/>
              </w:rPr>
              <w:t xml:space="preserve">000.00</w:t>
            </w:r>
            <w:r/>
          </w:p>
        </w:tc>
      </w:tr>
      <w:tr>
        <w:trPr>
          <w:trHeight w:val="815"/>
        </w:trPr>
        <w:tc>
          <w:tcPr>
            <w:tcW w:w="2250" w:type="dxa"/>
            <w:vAlign w:val="center"/>
            <w:vMerge w:val="continue"/>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6653" w:type="dxa"/>
            <w:vAlign w:val="center"/>
            <w:textDirection w:val="lrTb"/>
            <w:noWrap w:val="false"/>
          </w:tcPr>
          <w:p>
            <w:pPr>
              <w:jc w:val="center"/>
              <w:rPr>
                <w:rFonts w:hint="eastAsia" w:ascii="宋体" w:hAnsi="宋体" w:eastAsia="宋体" w:cs="宋体"/>
                <w:color w:val="auto"/>
                <w:highlight w:val="none"/>
                <w:lang w:eastAsia="zh-CN"/>
              </w:rPr>
            </w:pPr>
            <w:r>
              <w:rPr>
                <w:rFonts w:asciiTheme="minorEastAsia" w:hAnsiTheme="minorEastAsia" w:eastAsiaTheme="minorEastAsia" w:cstheme="majorBidi"/>
                <w:b/>
                <w:bCs/>
                <w:color w:val="000000"/>
                <w:szCs w:val="28"/>
              </w:rPr>
              <w:t xml:space="preserve">主要原料</w:t>
            </w:r>
            <w:r>
              <w:rPr>
                <w:rFonts w:hint="eastAsia" w:asciiTheme="minorEastAsia" w:hAnsiTheme="minorEastAsia" w:eastAsiaTheme="minorEastAsia" w:cstheme="majorBidi"/>
                <w:b/>
                <w:bCs/>
                <w:color w:val="000000"/>
                <w:szCs w:val="28"/>
                <w:lang w:eastAsia="zh-CN"/>
              </w:rPr>
              <w:t xml:space="preserve">：</w:t>
            </w:r>
            <w:r>
              <w:rPr>
                <w:rFonts w:hint="eastAsia" w:asciiTheme="minorEastAsia" w:hAnsiTheme="minorEastAsia" w:eastAsiaTheme="minorEastAsia" w:cstheme="majorBidi"/>
                <w:color w:val="000000"/>
                <w:szCs w:val="28"/>
              </w:rPr>
              <w:t xml:space="preserve">主要成分为具有完全降解特性的脂肪族聚酯、脂肪族-芳香族共聚酯，不含有聚乙烯、聚丙烯等烯烃类原料。</w:t>
            </w:r>
            <w:r/>
          </w:p>
        </w:tc>
        <w:tc>
          <w:tcPr>
            <w:tcW w:w="1423" w:type="dxa"/>
            <w:vAlign w:val="center"/>
            <w:vMerge w:val="continue"/>
            <w:textDirection w:val="lrTb"/>
            <w:noWrap w:val="false"/>
          </w:tcPr>
          <w:p>
            <w:pPr>
              <w:jc w:val="center"/>
              <w:keepLines w:val="0"/>
              <w:keepNext w:val="0"/>
              <w:widowControl/>
              <w:rPr>
                <w:color w:val="auto"/>
                <w:highlight w:val="none"/>
              </w:rPr>
              <w:suppressLineNumbers w:val="0"/>
            </w:pPr>
            <w:r>
              <w:rPr>
                <w:color w:val="auto"/>
                <w:highlight w:val="none"/>
              </w:rPr>
            </w:r>
            <w:r/>
          </w:p>
        </w:tc>
      </w:tr>
      <w:tr>
        <w:trPr>
          <w:trHeight w:val="485"/>
        </w:trPr>
        <w:tc>
          <w:tcPr>
            <w:shd w:val="clear" w:color="auto" w:fill="auto"/>
            <w:tcW w:w="22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6653" w:type="dxa"/>
            <w:vAlign w:val="center"/>
            <w:textDirection w:val="lrTb"/>
            <w:noWrap w:val="false"/>
          </w:tcPr>
          <w:p>
            <w:pPr>
              <w:jc w:val="both"/>
              <w:rPr>
                <w:rFonts w:hint="eastAsia" w:ascii="宋体" w:hAnsi="宋体" w:eastAsia="宋体" w:cs="宋体"/>
                <w:color w:val="auto"/>
                <w:sz w:val="21"/>
                <w:szCs w:val="21"/>
                <w:highlight w:val="none"/>
                <w:lang w:val="en-US" w:eastAsia="zh-CN" w:bidi="ar-SA"/>
              </w:rPr>
            </w:pPr>
            <w:r>
              <w:rPr>
                <w:rFonts w:asciiTheme="minorEastAsia" w:hAnsiTheme="minorEastAsia" w:eastAsiaTheme="minorEastAsia" w:cstheme="majorBidi"/>
                <w:b/>
                <w:bCs/>
                <w:color w:val="000000"/>
                <w:szCs w:val="28"/>
              </w:rPr>
              <w:t xml:space="preserve">有效</w:t>
            </w:r>
            <w:r>
              <w:rPr>
                <w:rFonts w:hint="eastAsia" w:asciiTheme="minorEastAsia" w:hAnsiTheme="minorEastAsia" w:eastAsiaTheme="minorEastAsia" w:cstheme="majorBidi"/>
                <w:b/>
                <w:bCs/>
                <w:color w:val="000000"/>
                <w:szCs w:val="28"/>
                <w:lang w:val="en-US" w:eastAsia="zh-CN"/>
              </w:rPr>
              <w:t xml:space="preserve">使用</w:t>
            </w:r>
            <w:r>
              <w:rPr>
                <w:rFonts w:asciiTheme="minorEastAsia" w:hAnsiTheme="minorEastAsia" w:eastAsiaTheme="minorEastAsia" w:cstheme="majorBidi"/>
                <w:b/>
                <w:bCs/>
                <w:color w:val="000000"/>
                <w:szCs w:val="28"/>
              </w:rPr>
              <w:t xml:space="preserve">时间</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color w:val="auto"/>
                <w:szCs w:val="28"/>
              </w:rPr>
              <w:t xml:space="preserve">有效使用时间≥</w:t>
            </w:r>
            <w:r>
              <w:rPr>
                <w:rFonts w:hint="eastAsia" w:cs="Times New Roman" w:asciiTheme="minorEastAsia" w:hAnsiTheme="minorEastAsia"/>
                <w:color w:val="auto"/>
                <w:szCs w:val="28"/>
                <w:lang w:val="en-US" w:eastAsia="zh-CN"/>
              </w:rPr>
              <w:t xml:space="preserve">90天</w:t>
            </w:r>
            <w:r/>
          </w:p>
        </w:tc>
        <w:tc>
          <w:tcPr>
            <w:shd w:val="clear" w:color="auto" w:fill="auto"/>
            <w:tcW w:w="1423" w:type="dxa"/>
            <w:vAlign w:val="center"/>
            <w:vMerge w:val="continue"/>
            <w:textDirection w:val="lrTb"/>
            <w:noWrap w:val="false"/>
          </w:tcPr>
          <w:p>
            <w:pPr>
              <w:jc w:val="center"/>
              <w:keepLines w:val="0"/>
              <w:keepNext w:val="0"/>
              <w:widowControl/>
              <w:rPr>
                <w:rFonts w:hint="default" w:ascii="Arial" w:hAnsi="Arial" w:eastAsia="Arial" w:cs="Arial"/>
                <w:color w:val="auto"/>
                <w:sz w:val="21"/>
                <w:szCs w:val="21"/>
                <w:highlight w:val="none"/>
                <w:lang w:val="en-US" w:eastAsia="en-US" w:bidi="ar-SA"/>
              </w:rPr>
              <w:suppressLineNumbers w:val="0"/>
            </w:pPr>
            <w:r>
              <w:rPr>
                <w:rFonts w:hint="default" w:ascii="Arial" w:hAnsi="Arial" w:eastAsia="Arial" w:cs="Arial"/>
                <w:color w:val="auto"/>
                <w:sz w:val="21"/>
                <w:szCs w:val="21"/>
                <w:highlight w:val="none"/>
                <w:lang w:val="en-US" w:eastAsia="en-US" w:bidi="ar-SA"/>
              </w:rPr>
            </w:r>
            <w:r/>
          </w:p>
        </w:tc>
      </w:tr>
      <w:tr>
        <w:trPr>
          <w:trHeight w:val="1199"/>
        </w:trPr>
        <w:tc>
          <w:tcPr>
            <w:shd w:val="clear" w:color="auto" w:fill="auto"/>
            <w:tcW w:w="22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6653" w:type="dxa"/>
            <w:vAlign w:val="center"/>
            <w:textDirection w:val="lrTb"/>
            <w:noWrap w:val="false"/>
          </w:tcPr>
          <w:p>
            <w:pPr>
              <w:ind w:right="42"/>
              <w:widowControl/>
              <w:rPr>
                <w:rFonts w:hint="default" w:cs="Times New Roman" w:asciiTheme="minorEastAsia" w:hAnsiTheme="minorEastAsia"/>
                <w:color w:val="auto"/>
                <w:szCs w:val="28"/>
                <w:lang w:val="en-US" w:eastAsia="zh-CN"/>
              </w:rPr>
            </w:pPr>
            <w:r>
              <w:rPr>
                <w:rFonts w:asciiTheme="minorEastAsia" w:hAnsiTheme="minorEastAsia" w:eastAsiaTheme="minorEastAsia" w:cstheme="majorBidi"/>
                <w:b/>
                <w:bCs/>
                <w:color w:val="000000"/>
                <w:szCs w:val="28"/>
              </w:rPr>
              <w:t xml:space="preserve">地膜规格</w:t>
            </w:r>
            <w:r>
              <w:rPr>
                <w:rFonts w:hint="eastAsia" w:asciiTheme="minorEastAsia" w:hAnsiTheme="minorEastAsia" w:eastAsiaTheme="minorEastAsia" w:cstheme="majorBidi"/>
                <w:b/>
                <w:bCs/>
                <w:color w:val="000000"/>
                <w:szCs w:val="28"/>
                <w:lang w:eastAsia="zh-CN"/>
              </w:rPr>
              <w:t xml:space="preserve">：</w:t>
            </w:r>
            <w:r>
              <w:rPr>
                <w:rFonts w:hint="eastAsia" w:asciiTheme="minorEastAsia" w:hAnsiTheme="minorEastAsia" w:eastAsiaTheme="minorEastAsia" w:cstheme="majorBidi"/>
                <w:b/>
                <w:bCs/>
                <w:color w:val="000000"/>
                <w:szCs w:val="28"/>
                <w:lang w:val="en-US" w:eastAsia="zh-CN"/>
              </w:rPr>
              <w:t xml:space="preserve">    </w:t>
            </w:r>
            <w:r>
              <w:rPr>
                <w:rFonts w:hint="eastAsia" w:cs="Times New Roman" w:asciiTheme="minorEastAsia" w:hAnsiTheme="minorEastAsia"/>
                <w:color w:val="auto"/>
                <w:szCs w:val="28"/>
                <w:lang w:val="en-US" w:eastAsia="zh-CN"/>
              </w:rPr>
              <w:t xml:space="preserve">宽度：90~120 厘米(具体根据甲方实际需求）</w:t>
            </w:r>
            <w:r/>
          </w:p>
          <w:p>
            <w:pPr>
              <w:ind w:right="42" w:firstLine="1470"/>
              <w:widowControl/>
              <w:rPr>
                <w:rFonts w:hint="default" w:cs="Times New Roman" w:asciiTheme="minorEastAsia" w:hAnsiTheme="minorEastAsia" w:eastAsiaTheme="minorEastAsia"/>
                <w:color w:val="auto"/>
                <w:szCs w:val="28"/>
                <w:lang w:val="en-US" w:eastAsia="zh-CN"/>
              </w:rPr>
            </w:pPr>
            <w:r>
              <w:rPr>
                <w:rFonts w:hint="eastAsia" w:cs="Times New Roman" w:asciiTheme="minorEastAsia" w:hAnsiTheme="minorEastAsia" w:eastAsiaTheme="minorEastAsia"/>
                <w:color w:val="auto"/>
                <w:szCs w:val="28"/>
              </w:rPr>
              <w:t xml:space="preserve">厚度:</w:t>
            </w:r>
            <w:r>
              <w:rPr>
                <w:rFonts w:hint="eastAsia" w:cs="Times New Roman" w:asciiTheme="minorEastAsia" w:hAnsiTheme="minorEastAsia"/>
                <w:color w:val="auto"/>
                <w:szCs w:val="28"/>
                <w:lang w:val="en-US" w:eastAsia="zh-CN"/>
              </w:rPr>
              <w:t xml:space="preserve">0.01mm</w:t>
            </w:r>
            <w:r/>
          </w:p>
          <w:p>
            <w:pPr>
              <w:ind w:right="42" w:firstLine="1470"/>
              <w:widowControl/>
              <w:rPr>
                <w:rFonts w:hint="default" w:cs="Times New Roman" w:asciiTheme="minorEastAsia" w:hAnsiTheme="minorEastAsia"/>
                <w:color w:val="auto"/>
                <w:szCs w:val="28"/>
                <w:lang w:val="en-US" w:eastAsia="zh-CN"/>
              </w:rPr>
            </w:pPr>
            <w:r>
              <w:rPr>
                <w:rFonts w:hint="eastAsia" w:cs="Times New Roman" w:asciiTheme="minorEastAsia" w:hAnsiTheme="minorEastAsia"/>
                <w:color w:val="auto"/>
                <w:szCs w:val="28"/>
                <w:lang w:val="en-US" w:eastAsia="zh-CN"/>
              </w:rPr>
              <w:t xml:space="preserve">每卷重量：10Kg/卷（自身净重，不含轴重、外包装等)</w:t>
            </w:r>
            <w:r/>
          </w:p>
          <w:p>
            <w:pPr>
              <w:ind w:firstLine="1470"/>
              <w:jc w:val="both"/>
              <w:rPr>
                <w:rFonts w:hint="eastAsia" w:ascii="宋体" w:hAnsi="宋体" w:eastAsia="宋体" w:cs="宋体"/>
                <w:color w:val="auto"/>
                <w:sz w:val="21"/>
                <w:szCs w:val="21"/>
                <w:highlight w:val="none"/>
                <w:lang w:val="en-US" w:eastAsia="zh-CN" w:bidi="ar-SA"/>
              </w:rPr>
            </w:pPr>
            <w:r>
              <w:rPr>
                <w:rFonts w:hint="eastAsia" w:cs="Times New Roman" w:asciiTheme="minorEastAsia" w:hAnsiTheme="minorEastAsia"/>
                <w:color w:val="auto"/>
                <w:szCs w:val="28"/>
                <w:lang w:val="en-US" w:eastAsia="zh-CN"/>
              </w:rPr>
              <w:t xml:space="preserve">颜色：黑色</w:t>
            </w:r>
            <w:r/>
          </w:p>
        </w:tc>
        <w:tc>
          <w:tcPr>
            <w:shd w:val="clear" w:color="auto" w:fill="auto"/>
            <w:tcW w:w="1423" w:type="dxa"/>
            <w:vAlign w:val="center"/>
            <w:vMerge w:val="continue"/>
            <w:textDirection w:val="lrTb"/>
            <w:noWrap w:val="false"/>
          </w:tcPr>
          <w:p>
            <w:pPr>
              <w:jc w:val="center"/>
              <w:keepLines w:val="0"/>
              <w:keepNext w:val="0"/>
              <w:widowControl/>
              <w:rPr>
                <w:rFonts w:hint="default" w:ascii="Arial" w:hAnsi="Arial" w:eastAsia="Arial" w:cs="Arial"/>
                <w:color w:val="auto"/>
                <w:sz w:val="21"/>
                <w:szCs w:val="21"/>
                <w:highlight w:val="none"/>
                <w:lang w:val="en-US" w:eastAsia="en-US" w:bidi="ar-SA"/>
              </w:rPr>
              <w:suppressLineNumbers w:val="0"/>
            </w:pPr>
            <w:r>
              <w:rPr>
                <w:rFonts w:hint="default" w:ascii="Arial" w:hAnsi="Arial" w:eastAsia="Arial" w:cs="Arial"/>
                <w:color w:val="auto"/>
                <w:sz w:val="21"/>
                <w:szCs w:val="21"/>
                <w:highlight w:val="none"/>
                <w:lang w:val="en-US" w:eastAsia="en-US" w:bidi="ar-SA"/>
              </w:rPr>
            </w:r>
            <w:r/>
          </w:p>
        </w:tc>
      </w:tr>
      <w:tr>
        <w:trPr>
          <w:trHeight w:val="1834"/>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ind w:right="42"/>
              <w:widowControl/>
              <w:rPr>
                <w:rFonts w:cs="Times New Roman" w:asciiTheme="minorEastAsia" w:hAnsiTheme="minorEastAsia" w:eastAsiaTheme="minorEastAsia"/>
                <w:color w:val="auto"/>
                <w:szCs w:val="28"/>
              </w:rPr>
            </w:pPr>
            <w:r>
              <w:rPr>
                <w:rFonts w:asciiTheme="minorEastAsia" w:hAnsiTheme="minorEastAsia" w:eastAsiaTheme="minorEastAsia" w:cstheme="majorBidi"/>
                <w:b/>
                <w:bCs/>
                <w:color w:val="000000"/>
                <w:szCs w:val="28"/>
              </w:rPr>
              <w:t xml:space="preserve">技术指标</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color w:val="auto"/>
                <w:szCs w:val="28"/>
              </w:rPr>
              <w:t xml:space="preserve">1.水蒸气透过量应＜800g/（m</w:t>
            </w:r>
            <w:r>
              <w:rPr>
                <w:rFonts w:hint="eastAsia" w:cs="Times New Roman" w:asciiTheme="minorEastAsia" w:hAnsiTheme="minorEastAsia" w:eastAsiaTheme="minorEastAsia"/>
                <w:color w:val="auto"/>
                <w:szCs w:val="28"/>
                <w:vertAlign w:val="superscript"/>
              </w:rPr>
              <w:t xml:space="preserve">2 </w:t>
            </w:r>
            <w:r>
              <w:rPr>
                <w:rFonts w:hint="eastAsia" w:cs="Times New Roman" w:asciiTheme="minorEastAsia" w:hAnsiTheme="minorEastAsia" w:eastAsiaTheme="minorEastAsia"/>
                <w:color w:val="auto"/>
                <w:szCs w:val="28"/>
              </w:rPr>
              <w:t xml:space="preserve">·24h）；</w:t>
            </w:r>
            <w:r/>
          </w:p>
          <w:p>
            <w:pPr>
              <w:ind w:left="42" w:right="42" w:firstLine="976"/>
              <w:widowControl/>
              <w:rPr>
                <w:rFonts w:cs="Times New Roman" w:asciiTheme="minorEastAsia" w:hAnsiTheme="minorEastAsia" w:eastAsiaTheme="minorEastAsia"/>
                <w:color w:val="auto"/>
                <w:szCs w:val="28"/>
              </w:rPr>
            </w:pPr>
            <w:r>
              <w:rPr>
                <w:rFonts w:hint="eastAsia" w:cs="Times New Roman" w:asciiTheme="minorEastAsia" w:hAnsiTheme="minorEastAsia" w:eastAsiaTheme="minorEastAsia"/>
                <w:color w:val="auto"/>
                <w:szCs w:val="28"/>
              </w:rPr>
              <w:t xml:space="preserve">2.有机成分≥51%；相对生物分解率≥90%；</w:t>
            </w:r>
            <w:r/>
          </w:p>
          <w:p>
            <w:pPr>
              <w:ind w:left="42" w:right="42" w:firstLine="976"/>
              <w:widowControl/>
              <w:rPr>
                <w:rFonts w:hint="default" w:cs="Times New Roman" w:asciiTheme="minorEastAsia" w:hAnsiTheme="minorEastAsia" w:eastAsiaTheme="minorEastAsia"/>
                <w:b/>
                <w:color w:val="ff0000"/>
                <w:szCs w:val="28"/>
                <w:lang w:val="en-US" w:eastAsia="zh-CN"/>
              </w:rPr>
            </w:pPr>
            <w:r>
              <w:rPr>
                <w:rFonts w:hint="eastAsia" w:cs="Times New Roman" w:asciiTheme="minorEastAsia" w:hAnsiTheme="minorEastAsia" w:eastAsiaTheme="minorEastAsia"/>
                <w:color w:val="auto"/>
                <w:szCs w:val="28"/>
              </w:rPr>
              <w:t xml:space="preserve">3.拉伸负荷（纵、横向）≥</w:t>
            </w:r>
            <w:r>
              <w:rPr>
                <w:rFonts w:hint="eastAsia" w:cs="Times New Roman" w:asciiTheme="minorEastAsia" w:hAnsiTheme="minorEastAsia"/>
                <w:color w:val="auto"/>
                <w:szCs w:val="28"/>
                <w:lang w:val="en-US" w:eastAsia="zh-CN"/>
              </w:rPr>
              <w:t xml:space="preserve"> 2.0 N；</w:t>
            </w:r>
            <w:r/>
          </w:p>
          <w:p>
            <w:pPr>
              <w:ind w:left="42" w:right="42" w:firstLine="976"/>
              <w:widowControl/>
              <w:rPr>
                <w:rFonts w:hint="eastAsia" w:cs="Times New Roman" w:asciiTheme="minorEastAsia" w:hAnsiTheme="minorEastAsia" w:eastAsiaTheme="minorEastAsia"/>
                <w:color w:val="auto"/>
                <w:szCs w:val="28"/>
              </w:rPr>
            </w:pPr>
            <w:r>
              <w:rPr>
                <w:rFonts w:hint="eastAsia" w:cs="Times New Roman" w:asciiTheme="minorEastAsia" w:hAnsiTheme="minorEastAsia" w:eastAsiaTheme="minorEastAsia"/>
                <w:color w:val="auto"/>
                <w:szCs w:val="28"/>
              </w:rPr>
              <w:t xml:space="preserve">4.断裂标称应变（纵向）≥</w:t>
            </w:r>
            <w:r>
              <w:rPr>
                <w:rFonts w:hint="eastAsia" w:cs="Times New Roman" w:asciiTheme="minorEastAsia" w:hAnsiTheme="minorEastAsia"/>
                <w:color w:val="auto"/>
                <w:szCs w:val="28"/>
                <w:lang w:val="en-US" w:eastAsia="zh-CN"/>
              </w:rPr>
              <w:t xml:space="preserve"> 150 </w:t>
            </w:r>
            <w:r>
              <w:rPr>
                <w:rFonts w:hint="eastAsia" w:cs="Times New Roman" w:asciiTheme="minorEastAsia" w:hAnsiTheme="minorEastAsia" w:eastAsiaTheme="minorEastAsia"/>
                <w:color w:val="auto"/>
                <w:szCs w:val="28"/>
              </w:rPr>
              <w:t xml:space="preserve">%；</w:t>
            </w:r>
            <w:r/>
          </w:p>
          <w:p>
            <w:pPr>
              <w:ind w:left="42" w:right="42" w:firstLine="976"/>
              <w:widowControl/>
              <w:rPr>
                <w:rFonts w:cs="Times New Roman" w:asciiTheme="minorEastAsia" w:hAnsiTheme="minorEastAsia" w:eastAsiaTheme="minorEastAsia"/>
                <w:color w:val="auto"/>
                <w:szCs w:val="28"/>
              </w:rPr>
            </w:pPr>
            <w:r>
              <w:rPr>
                <w:rFonts w:hint="eastAsia" w:cs="Times New Roman" w:asciiTheme="minorEastAsia" w:hAnsiTheme="minorEastAsia" w:eastAsiaTheme="minorEastAsia"/>
                <w:color w:val="auto"/>
                <w:szCs w:val="28"/>
              </w:rPr>
              <w:t xml:space="preserve">5.断裂标称应变（横向）≥</w:t>
            </w:r>
            <w:r>
              <w:rPr>
                <w:rFonts w:hint="eastAsia" w:cs="Times New Roman" w:asciiTheme="minorEastAsia" w:hAnsiTheme="minorEastAsia"/>
                <w:color w:val="auto"/>
                <w:szCs w:val="28"/>
                <w:lang w:val="en-US" w:eastAsia="zh-CN"/>
              </w:rPr>
              <w:t xml:space="preserve"> 250 </w:t>
            </w:r>
            <w:r>
              <w:rPr>
                <w:rFonts w:hint="eastAsia" w:cs="Times New Roman" w:asciiTheme="minorEastAsia" w:hAnsiTheme="minorEastAsia" w:eastAsiaTheme="minorEastAsia"/>
                <w:color w:val="auto"/>
                <w:szCs w:val="28"/>
              </w:rPr>
              <w:t xml:space="preserve">%；</w:t>
            </w:r>
            <w:r/>
          </w:p>
          <w:p>
            <w:pPr>
              <w:ind w:firstLine="1050"/>
              <w:jc w:val="both"/>
              <w:rPr>
                <w:rFonts w:hint="eastAsia" w:ascii="宋体" w:hAnsi="宋体" w:eastAsia="宋体" w:cs="宋体"/>
                <w:color w:val="auto"/>
                <w:highlight w:val="none"/>
                <w:lang w:val="en-US" w:eastAsia="zh-CN"/>
              </w:rPr>
            </w:pPr>
            <w:r>
              <w:rPr>
                <w:rFonts w:hint="eastAsia" w:cs="Times New Roman" w:asciiTheme="minorEastAsia" w:hAnsiTheme="minorEastAsia" w:eastAsiaTheme="minorEastAsia"/>
                <w:color w:val="auto"/>
                <w:szCs w:val="28"/>
              </w:rPr>
              <w:t xml:space="preserve">6.直角撕裂负荷（纵、横向）≥</w:t>
            </w:r>
            <w:r>
              <w:rPr>
                <w:rFonts w:hint="eastAsia" w:cs="Times New Roman" w:asciiTheme="minorEastAsia" w:hAnsiTheme="minorEastAsia"/>
                <w:color w:val="auto"/>
                <w:szCs w:val="28"/>
                <w:lang w:val="en-US" w:eastAsia="zh-CN"/>
              </w:rPr>
              <w:t xml:space="preserve"> 0.8 </w:t>
            </w:r>
            <w:r>
              <w:rPr>
                <w:rFonts w:hint="eastAsia" w:cs="Times New Roman" w:asciiTheme="minorEastAsia" w:hAnsiTheme="minorEastAsia" w:eastAsiaTheme="minorEastAsia"/>
                <w:color w:val="auto"/>
                <w:szCs w:val="28"/>
              </w:rPr>
              <w:t xml:space="preserve">N。</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734"/>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center"/>
              <w:rPr>
                <w:rFonts w:hint="eastAsia" w:ascii="宋体" w:hAnsi="宋体" w:eastAsia="宋体" w:cs="宋体"/>
                <w:color w:val="auto"/>
                <w:szCs w:val="28"/>
                <w:highlight w:val="none"/>
              </w:rPr>
            </w:pPr>
            <w:r>
              <w:rPr>
                <w:rFonts w:hint="eastAsia" w:cs="Times New Roman" w:asciiTheme="minorEastAsia" w:hAnsiTheme="minorEastAsia" w:eastAsiaTheme="minorEastAsia"/>
                <w:color w:val="auto"/>
                <w:szCs w:val="28"/>
              </w:rPr>
              <w:t xml:space="preserve">售后服务期限：1年。</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bl>
    <w:p>
      <w:pPr>
        <w:ind w:firstLine="420"/>
        <w:jc w:val="left"/>
        <w:keepLines/>
        <w:keepNex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说明：证明材料有要求的按要求提供证明材料，没有要求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p>
      <w:pPr>
        <w:pStyle w:val="697"/>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highlight w:val="none"/>
        </w:rPr>
        <w:t xml:space="preserve">四、商务条款</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1、供货期：合同签订之日起</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个月内完成供货</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2、包装运输要求：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应按合同中规定的时间和地点、采购人提供的交货明细清单中地膜规格和数量的要求直接运输至采购人指定地点交付货物。送货地点分散，数量规格较多，投标人需配备专业的运输车辆及熟悉投标产品的相关配送货的人员。</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（3）投标人在本项目实施过程中，达到安全无事故。若造成任何安全事故等不良后果，由投标人负责。在项目实施过程中涉及的有关矛盾由投标人自主解决，采购人负责协调。</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3、质保及售后服务要求： 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（1）质保期：产品验收合格使用之日起8个月。在质保期内该产品出现任何质量问题（人为除外），中标人须无条件更换，由此产生的所有费用由投标人承担。</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（2）投标人提供24小时售后服务，并提供专门负责人联系电话。投标人在接到电话后，2小时内响应，48小时以内到达现场处理，由此产生的所有费用由投标人承担。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（3）在产品使用期间，投标人应提供专业的培训服务，并免费提供关于详尽的培训材料，指导农户的使用培训不少于2次（每次不少于2小时）。一般技术培训不得限制人数。</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（4）投标人应保证，如能中标，采购人在使用中标货物时，免受第三方提出的侵犯其专利权、商标权或工业设计权的起诉。</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5</w:t>
      </w:r>
      <w:r>
        <w:rPr>
          <w:rFonts w:hint="eastAsia" w:ascii="宋体" w:hAnsi="宋体" w:eastAsia="宋体" w:cs="宋体"/>
          <w:color w:val="auto"/>
          <w:szCs w:val="21"/>
          <w:highlight w:val="yellow"/>
        </w:rPr>
        <w:t xml:space="preserve">）中标后所供应的产品进行抽检，检测费用由中标单位支付，如发现不符合，可中止合同。</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6</w:t>
      </w:r>
      <w:r>
        <w:rPr>
          <w:rFonts w:hint="eastAsia" w:ascii="宋体" w:hAnsi="宋体" w:eastAsia="宋体" w:cs="宋体"/>
          <w:color w:val="auto"/>
          <w:szCs w:val="21"/>
          <w:highlight w:val="yellow"/>
        </w:rPr>
        <w:t xml:space="preserve">）签订合同前应要求中标企业签署《产品质量责任保证书》。</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4、验收要求：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（4）当出现货物损坏、数量不全、规格不符等问题时，由投标人负责解决。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（5）货物验收通过后，由采购人开具到货验收单，一式三份，采购人、各镇（区、街道）项目对接负责人、投标人各执一份。</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产品使用过程中，采购人可根据实际使用农户反馈的情况对产品质量进行抽检，投标人、采购人双方共同协商指定一家权威机构进行检测，投标人承担所有检测费用。如检测结果不符合国家标准要求，则由投标人和农户协商赔偿事宜。</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（7）验收情况作为支付货款的依据。</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注：对采购需求部分的询问、质疑请向采购人提出，询问、质疑由采购人负责解释。</w:t>
      </w:r>
      <w:r/>
    </w:p>
    <w:p>
      <w:pPr>
        <w:pStyle w:val="679"/>
        <w:ind w:firstLine="210"/>
        <w:jc w:val="both"/>
        <w:keepNext w:val="0"/>
        <w:spacing w:line="36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本部分标注“★”实质性要求，必须响应，不允许负偏离，否则作为无效投标处理。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评审方法和评审标准</w:t>
      </w:r>
      <w:r/>
    </w:p>
    <w:p>
      <w:pPr>
        <w:pStyle w:val="921"/>
        <w:ind w:left="0" w:firstLine="0"/>
        <w:spacing w:before="0" w:after="0" w:line="520" w:lineRule="exact"/>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2"/>
          <w:szCs w:val="32"/>
          <w:highlight w:val="none"/>
          <w:lang w:val="en-US" w:eastAsia="zh-CN" w:bidi="ar-SA"/>
        </w:rPr>
        <w:t xml:space="preserve">分包</w:t>
      </w:r>
      <w:r>
        <w:rPr>
          <w:rFonts w:hint="eastAsia" w:ascii="宋体" w:hAnsi="宋体" w:cs="宋体"/>
          <w:b/>
          <w:color w:val="auto"/>
          <w:sz w:val="32"/>
          <w:szCs w:val="32"/>
          <w:highlight w:val="none"/>
          <w:lang w:val="en-US" w:eastAsia="zh-CN" w:bidi="ar-SA"/>
        </w:rPr>
        <w:t xml:space="preserve">一</w:t>
      </w:r>
      <w:r>
        <w:rPr>
          <w:rFonts w:hint="eastAsia" w:ascii="宋体" w:hAnsi="宋体" w:eastAsia="宋体" w:cs="宋体"/>
          <w:b/>
          <w:color w:val="auto"/>
          <w:sz w:val="32"/>
          <w:szCs w:val="32"/>
          <w:highlight w:val="none"/>
          <w:lang w:val="en-US" w:eastAsia="zh-CN" w:bidi="ar-SA"/>
        </w:rPr>
        <w:t xml:space="preserve">：</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一、磋商小组：</w:t>
      </w:r>
      <w:r/>
    </w:p>
    <w:p>
      <w:pPr>
        <w:pStyle w:val="921"/>
        <w:spacing w:before="0" w:after="0" w:line="52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二、评审方法：</w:t>
      </w:r>
      <w:r>
        <w:rPr>
          <w:rFonts w:hint="eastAsia" w:ascii="宋体" w:hAnsi="宋体" w:eastAsia="宋体" w:cs="宋体"/>
          <w:b/>
          <w:bCs/>
          <w:color w:val="auto"/>
          <w:highlight w:val="none"/>
        </w:rPr>
        <w:t xml:space="preserve">综合评分法</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三、评审原则：</w:t>
      </w:r>
      <w:r/>
    </w:p>
    <w:p>
      <w:pPr>
        <w:pStyle w:val="921"/>
        <w:spacing w:before="0" w:after="0" w:line="520" w:lineRule="exact"/>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四、评审标准： </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（一）评审时，磋商小组以磋商文件为评审依据，磋商小组各成员独立对每个有效响应的文件进行评价、打分，然后汇总每个磋商供应商每项评审因素的得分。</w:t>
      </w:r>
      <w:r/>
    </w:p>
    <w:p>
      <w:pPr>
        <w:pStyle w:val="921"/>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color w:val="auto"/>
          <w:highlight w:val="none"/>
        </w:rPr>
        <w:t xml:space="preserve">（二）本项目评分总分为100分，按四舍五入取至小数点后两位。</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9"/>
        <w:jc w:val="both"/>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73"/>
        <w:tblpPr w:horzAnchor="page" w:tblpX="1229" w:vertAnchor="page" w:tblpY="2715" w:leftFromText="180" w:topFromText="0" w:rightFromText="180" w:bottomFromText="0"/>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4"/>
        <w:gridCol w:w="1158"/>
        <w:gridCol w:w="7537"/>
      </w:tblGrid>
      <w:tr>
        <w:trPr>
          <w:jc w:val="center"/>
          <w:trHeight w:val="590"/>
        </w:trPr>
        <w:tc>
          <w:tcPr>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gridSpan w:val="2"/>
            <w:tcW w:w="86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765"/>
        </w:trPr>
        <w:tc>
          <w:tcPr>
            <w:gridSpan w:val="3"/>
            <w:tcW w:w="9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采用综合评分法，满分100分，投标报价30分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r>
      <w:tr>
        <w:trPr>
          <w:jc w:val="center"/>
          <w:trHeight w:val="2624"/>
        </w:trPr>
        <w:tc>
          <w:tcPr>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W w:w="8695" w:type="dxa"/>
            <w:vAlign w:val="top"/>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其他供应商的价格分统一按照下列公式计算：投标报价得分=(评标基准价/投标报价)×30</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注：分值计算保留两位小数。根据“财政部令第87号”第六十条的规定：评标委员会认为供应商的报价明显低于其他通过符合性审查供应商的报价，有可能影响产品质 量或者不能诚信履约的，应当要求其在评标现场合理的时间内提供书面说明，必要时提交相关证明材料；供应商不能证明其报价合理性的，评标委员会应当将其作投标无效处理。</w:t>
            </w:r>
            <w:r/>
          </w:p>
        </w:tc>
      </w:tr>
      <w:tr>
        <w:trPr>
          <w:jc w:val="center"/>
          <w:trHeight w:val="1109"/>
        </w:trPr>
        <w:tc>
          <w:tcPr>
            <w:tcBorders>
              <w:bottom w:val="none" w:color="000000" w:sz="4" w:space="0"/>
            </w:tcBorders>
            <w:tcW w:w="1024"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供货质量保证措施 ( </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根据投标人所报投标文件中供货质量保证措施进行综合评定，满分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分；质量保证措施好的，得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2576"/>
        </w:trPr>
        <w:tc>
          <w:tcPr>
            <w:tcBorders>
              <w:top w:val="none" w:color="000000" w:sz="4" w:space="0"/>
              <w:bottom w:val="none" w:color="000000" w:sz="4" w:space="0"/>
            </w:tcBorders>
            <w:tcW w:w="1024"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技术指导实施方案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指导方案包含（但不限于）①指导培训的内容、②现场指导方案的流程、③特殊情况的处理、④本项目技术针对性的指导、⑤专业性指导人员的经验及能力；要求内容完整、合理、可行性强。方案切实可行且无瑕疵得10分；未提供得0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09"/>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售后服务计划、措施：针对该项目须有详尽的组织配送、验收、售后等方面的服务计划、能力、措施。服务计划、措施好的，得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1834"/>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应急方案（10分）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1、提供的应急方案内容不存在瑕疵得10分；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2、提供的应急方案内容存在1处瑕疵得7分；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3、提供的应急方案内容存在2处瑕疵得4分；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4、提供的应急方案内容存在3处瑕疵得1分；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5、未提供方案或不满足项目需求或内容存在4处及以上瑕疵得0分。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97"/>
        </w:trPr>
        <w:tc>
          <w:tcPr>
            <w:tcW w:w="1024"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供货时需</w:t>
            </w:r>
            <w:r>
              <w:rPr>
                <w:rFonts w:hint="eastAsia" w:ascii="宋体" w:hAnsi="宋体" w:eastAsia="宋体" w:cs="宋体"/>
                <w:color w:val="auto"/>
                <w:sz w:val="21"/>
                <w:szCs w:val="21"/>
                <w:highlight w:val="none"/>
              </w:rPr>
              <w:t xml:space="preserve">有科学、具体的技术指导，必须配置技术指导人员农业专家至少1名，</w:t>
            </w:r>
            <w:r>
              <w:rPr>
                <w:rFonts w:hint="eastAsia" w:ascii="宋体" w:hAnsi="宋体" w:eastAsia="宋体" w:cs="宋体"/>
                <w:color w:val="auto"/>
                <w:sz w:val="21"/>
                <w:szCs w:val="21"/>
                <w:highlight w:val="none"/>
                <w:lang w:val="en-US" w:eastAsia="zh-CN"/>
              </w:rPr>
              <w:t xml:space="preserve">高级职称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中级职称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初级职称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w:t>
            </w:r>
            <w:r>
              <w:rPr>
                <w:rFonts w:hint="eastAsia" w:ascii="宋体" w:hAnsi="宋体" w:eastAsia="宋体" w:cs="宋体"/>
                <w:color w:val="auto"/>
                <w:sz w:val="21"/>
                <w:szCs w:val="21"/>
                <w:highlight w:val="none"/>
                <w:lang w:val="en-US" w:eastAsia="zh-CN"/>
              </w:rPr>
              <w:t xml:space="preserve">相关材料</w:t>
            </w:r>
            <w:r>
              <w:rPr>
                <w:rFonts w:hint="eastAsia" w:ascii="宋体" w:hAnsi="宋体" w:eastAsia="宋体" w:cs="宋体"/>
                <w:color w:val="auto"/>
                <w:sz w:val="21"/>
                <w:szCs w:val="21"/>
                <w:highlight w:val="none"/>
              </w:rPr>
              <w:t xml:space="preserve">不得分。</w:t>
            </w:r>
            <w:r/>
          </w:p>
        </w:tc>
      </w:tr>
      <w:tr>
        <w:trPr>
          <w:jc w:val="center"/>
          <w:trHeight w:val="1109"/>
        </w:trPr>
        <w:tc>
          <w:tcPr>
            <w:tcW w:w="1024"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产品生产厂家或经销商</w:t>
            </w:r>
            <w:r>
              <w:rPr>
                <w:rFonts w:hint="eastAsia" w:ascii="宋体" w:hAnsi="宋体" w:eastAsia="宋体" w:cs="宋体"/>
                <w:color w:val="auto"/>
                <w:sz w:val="21"/>
                <w:szCs w:val="21"/>
                <w:highlight w:val="none"/>
              </w:rPr>
              <w:t xml:space="preserve">提供2022年1月1日以来所投标产品的成功案例合同，每份得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最多得10</w:t>
            </w:r>
            <w:r>
              <w:rPr>
                <w:rFonts w:hint="eastAsia" w:ascii="宋体" w:hAnsi="宋体" w:eastAsia="宋体" w:cs="宋体"/>
                <w:color w:val="auto"/>
                <w:sz w:val="21"/>
                <w:szCs w:val="21"/>
                <w:highlight w:val="none"/>
              </w:rPr>
              <w:t xml:space="preserve">分。(须在投标文件中提供中标通知书及相关合同扫描件，否则此项不得分)</w:t>
            </w:r>
            <w:r/>
          </w:p>
        </w:tc>
      </w:tr>
      <w:tr>
        <w:trPr>
          <w:jc w:val="center"/>
          <w:trHeight w:val="1002"/>
        </w:trPr>
        <w:tc>
          <w:tcPr>
            <w:tcW w:w="1024"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具有与本项目招标货物相关的有效专利证书，每提供一个得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 )</w:t>
            </w:r>
            <w:bookmarkEnd w:id="185"/>
            <w:r/>
            <w:bookmarkEnd w:id="186"/>
            <w:r/>
            <w:bookmarkEnd w:id="193"/>
            <w:r/>
            <w:bookmarkEnd w:id="194"/>
            <w:r/>
            <w:bookmarkEnd w:id="195"/>
            <w:r/>
            <w:r/>
          </w:p>
        </w:tc>
      </w:tr>
    </w:tbl>
    <w:p>
      <w:pPr>
        <w:pStyle w:val="921"/>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Cs/>
          <w:color w:val="auto"/>
          <w:sz w:val="24"/>
          <w:szCs w:val="24"/>
          <w:highlight w:val="none"/>
        </w:rPr>
        <w:t xml:space="preserve">五、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21"/>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21"/>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21"/>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21"/>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21"/>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21"/>
        <w:ind w:left="0" w:firstLine="0"/>
        <w:spacing w:before="0" w:after="0" w:line="520" w:lineRule="exact"/>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2"/>
          <w:szCs w:val="32"/>
          <w:highlight w:val="none"/>
          <w:lang w:val="en-US" w:eastAsia="zh-CN" w:bidi="ar-SA"/>
        </w:rPr>
        <w:t xml:space="preserve">分包二：</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一、磋商小组：</w:t>
      </w:r>
      <w:r/>
    </w:p>
    <w:p>
      <w:pPr>
        <w:pStyle w:val="921"/>
        <w:spacing w:before="0" w:after="0" w:line="52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二、评审方法：</w:t>
      </w:r>
      <w:r>
        <w:rPr>
          <w:rFonts w:hint="eastAsia" w:ascii="宋体" w:hAnsi="宋体" w:eastAsia="宋体" w:cs="宋体"/>
          <w:b/>
          <w:bCs/>
          <w:color w:val="auto"/>
          <w:highlight w:val="none"/>
        </w:rPr>
        <w:t xml:space="preserve">综合评分法</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三、评审原则：</w:t>
      </w:r>
      <w:r/>
    </w:p>
    <w:p>
      <w:pPr>
        <w:pStyle w:val="921"/>
        <w:spacing w:before="0" w:after="0" w:line="520" w:lineRule="exact"/>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21"/>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四、评审标准： </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（一）评审时，磋商小组以磋商文件为评审依据，磋商小组各成员独立对每个有效响应的文件进行评价、打分，然后汇总每个磋商供应商每项评审因素的得分。</w:t>
      </w:r>
      <w:r/>
    </w:p>
    <w:p>
      <w:pPr>
        <w:pStyle w:val="921"/>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（二）本项目评分总分为100分，按四舍五入取至小数点后两位。</w:t>
      </w:r>
      <w:r/>
    </w:p>
    <w:tbl>
      <w:tblPr>
        <w:tblStyle w:val="973"/>
        <w:tblpPr w:horzAnchor="page" w:tblpXSpec="center" w:vertAnchor="page" w:tblpY="11095" w:leftFromText="180" w:topFromText="0" w:rightFromText="180" w:bottomFromText="0"/>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1"/>
        <w:gridCol w:w="1156"/>
        <w:gridCol w:w="7522"/>
      </w:tblGrid>
      <w:tr>
        <w:trPr>
          <w:jc w:val="center"/>
          <w:trHeight w:val="649"/>
        </w:trPr>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gridSpan w:val="2"/>
            <w:tcW w:w="86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612"/>
        </w:trPr>
        <w:tc>
          <w:tcPr>
            <w:gridSpan w:val="3"/>
            <w:tcW w:w="96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采用综合评分法，满分100分，投标报价30分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r>
      <w:tr>
        <w:trPr>
          <w:jc w:val="center"/>
          <w:trHeight w:val="2885"/>
        </w:trPr>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W w:w="8678" w:type="dxa"/>
            <w:vAlign w:val="top"/>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其他供应商的价格分统一按照下列公式计算：投标报价得分=(评标基准价/投标报价)×30</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注：分值计算保留两位小数。根据“财政部令第87号”第六十条的规定：评标委员会认为供应商的报价明显低于其他通过符合性审查供应商的报价，有可能影响产品质 量或者不能诚信履约的，应当要求其在评标现场合理的时间内提供书面说明，必要时提交相关证明材料；供应商不能证明其报价合理性的，评标委员会应当将其作投标无效处理。</w:t>
            </w:r>
            <w:r/>
          </w:p>
        </w:tc>
      </w:tr>
      <w:tr>
        <w:trPr>
          <w:jc w:val="center"/>
          <w:trHeight w:val="1220"/>
        </w:trPr>
        <w:tc>
          <w:tcPr>
            <w:tcBorders>
              <w:bottom w:val="none" w:color="000000" w:sz="4" w:space="0"/>
            </w:tcBorders>
            <w:tcW w:w="102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供货质量保证措施 ( 5 分 )</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根据投标人所报投标文件中供货质量保证措施进行综合评定，满分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分；质量保证措施好的，得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分；未提供或其他情况不得分。</w:t>
            </w:r>
            <w:r/>
          </w:p>
        </w:tc>
      </w:tr>
      <w:tr>
        <w:trPr>
          <w:jc w:val="center"/>
          <w:trHeight w:val="1220"/>
        </w:trPr>
        <w:tc>
          <w:tcPr>
            <w:tcBorders>
              <w:top w:val="none" w:color="000000" w:sz="4" w:space="0"/>
              <w:bottom w:val="none" w:color="000000" w:sz="4" w:space="0"/>
            </w:tcBorders>
            <w:tcW w:w="102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技术指导实施方案 (</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供货时需</w:t>
            </w:r>
            <w:r>
              <w:rPr>
                <w:rFonts w:hint="eastAsia" w:ascii="宋体" w:hAnsi="宋体" w:eastAsia="宋体" w:cs="宋体"/>
                <w:color w:val="auto"/>
                <w:sz w:val="21"/>
                <w:szCs w:val="21"/>
                <w:highlight w:val="none"/>
              </w:rPr>
              <w:t xml:space="preserve">有科学、具体的技术指导，必须配置技术指导人员农业专家至少1名，</w:t>
            </w:r>
            <w:r>
              <w:rPr>
                <w:rFonts w:hint="eastAsia" w:ascii="宋体" w:hAnsi="宋体" w:eastAsia="宋体" w:cs="宋体"/>
                <w:color w:val="auto"/>
                <w:sz w:val="21"/>
                <w:szCs w:val="21"/>
                <w:highlight w:val="none"/>
                <w:lang w:val="en-US" w:eastAsia="zh-CN"/>
              </w:rPr>
              <w:t xml:space="preserve">高级职称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中级职称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初级职称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w:t>
            </w:r>
            <w:r>
              <w:rPr>
                <w:rFonts w:hint="eastAsia" w:ascii="宋体" w:hAnsi="宋体" w:eastAsia="宋体" w:cs="宋体"/>
                <w:color w:val="auto"/>
                <w:sz w:val="21"/>
                <w:szCs w:val="21"/>
                <w:highlight w:val="none"/>
                <w:lang w:val="en-US" w:eastAsia="zh-CN"/>
              </w:rPr>
              <w:t xml:space="preserve">相关材料</w:t>
            </w:r>
            <w:r>
              <w:rPr>
                <w:rFonts w:hint="eastAsia" w:ascii="宋体" w:hAnsi="宋体" w:eastAsia="宋体" w:cs="宋体"/>
                <w:color w:val="auto"/>
                <w:sz w:val="21"/>
                <w:szCs w:val="21"/>
                <w:highlight w:val="none"/>
              </w:rPr>
              <w:t xml:space="preserve">不得分。</w:t>
            </w:r>
            <w:r/>
          </w:p>
        </w:tc>
      </w:tr>
      <w:tr>
        <w:trPr>
          <w:jc w:val="center"/>
          <w:trHeight w:val="2430"/>
        </w:trPr>
        <w:tc>
          <w:tcPr>
            <w:tcBorders>
              <w:top w:val="none" w:color="000000" w:sz="4" w:space="0"/>
              <w:bottom w:val="none" w:color="000000" w:sz="4" w:space="0"/>
            </w:tcBorders>
            <w:tcW w:w="102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货物性能及技术指标响应</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1.投标产品须为全生物降解地膜材料，提供不含有任何形态的聚乙烯 (PE)或聚烯烃类等不可生物降解材料的证明，得5分。(证明材料需为省级以上具有相关资质的检测机构，没有检测报告不得分。)</w:t>
            </w:r>
            <w:r/>
          </w:p>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2.投标产品的技术参数，完全满足招标文件的，功能及其他参数不低于采购参数的得5分，不符合要求的项每项扣2 分，扣完为止。本项技术指标得分为零作无效投标处理。</w:t>
            </w:r>
            <w:r/>
          </w:p>
        </w:tc>
      </w:tr>
      <w:tr>
        <w:trPr>
          <w:jc w:val="center"/>
          <w:trHeight w:val="1646"/>
        </w:trPr>
        <w:tc>
          <w:tcPr>
            <w:tcBorders>
              <w:top w:val="none" w:color="000000" w:sz="4" w:space="0"/>
              <w:bottom w:val="none" w:color="000000" w:sz="4" w:space="0"/>
            </w:tcBorders>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售后服务计划、措施：针对该项目须有详尽的组织配送、验收、售后等方面的服务计划、能力、措施。服务计划、措施好的，得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1232"/>
        </w:trPr>
        <w:tc>
          <w:tcPr>
            <w:tcW w:w="102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产品生产厂家或经销商</w:t>
            </w:r>
            <w:r>
              <w:rPr>
                <w:rFonts w:hint="eastAsia" w:ascii="宋体" w:hAnsi="宋体" w:eastAsia="宋体" w:cs="宋体"/>
                <w:color w:val="auto"/>
                <w:sz w:val="21"/>
                <w:szCs w:val="21"/>
                <w:highlight w:val="none"/>
              </w:rPr>
              <w:t xml:space="preserve">提供2022年1月1日以来所投标产品的成功案例合同，每份得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最多得10</w:t>
            </w:r>
            <w:r>
              <w:rPr>
                <w:rFonts w:hint="eastAsia" w:ascii="宋体" w:hAnsi="宋体" w:eastAsia="宋体" w:cs="宋体"/>
                <w:color w:val="auto"/>
                <w:sz w:val="21"/>
                <w:szCs w:val="21"/>
                <w:highlight w:val="none"/>
              </w:rPr>
              <w:t xml:space="preserve">分。(须在投标文件中提供中标通知书及相关合同扫描件，否则此项不得分)</w:t>
            </w:r>
            <w:r/>
          </w:p>
        </w:tc>
      </w:tr>
      <w:tr>
        <w:trPr>
          <w:jc w:val="center"/>
          <w:trHeight w:val="1220"/>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试验示范</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投标产品有国家级农业部门(农业农村部或中国农科院)生物降解地膜试验应用报告的，每份报告得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w:t>
            </w:r>
            <w:r>
              <w:rPr>
                <w:rFonts w:hint="eastAsia" w:ascii="宋体" w:hAnsi="宋体" w:eastAsia="宋体" w:cs="宋体"/>
                <w:color w:val="auto"/>
                <w:sz w:val="21"/>
                <w:szCs w:val="21"/>
                <w:highlight w:val="none"/>
                <w:lang w:val="en-US" w:eastAsia="zh-CN"/>
              </w:rPr>
              <w:t xml:space="preserve">   </w:t>
            </w:r>
            <w:r/>
          </w:p>
        </w:tc>
      </w:tr>
      <w:tr>
        <w:trPr>
          <w:jc w:val="center"/>
          <w:trHeight w:val="2026"/>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技术能力证明(</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地膜制造商具有生物降解地膜相关的部级相关部门及以上奖项的，得 5分。(须在投标文件中提供相关证明文件扫描件，否则此项不得分)</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numPr>
                <w:ilvl w:val="0"/>
                <w:numId w:val="0"/>
              </w:num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用户评价</w:t>
            </w:r>
            <w:r>
              <w:rPr>
                <w:rFonts w:hint="eastAsia" w:ascii="宋体" w:hAnsi="宋体" w:eastAsia="宋体" w:cs="宋体"/>
                <w:b/>
                <w:bCs/>
                <w:color w:val="auto"/>
                <w:sz w:val="21"/>
                <w:szCs w:val="21"/>
                <w:highlight w:val="none"/>
                <w:lang w:val="en-US" w:eastAsia="zh-CN"/>
              </w:rPr>
              <w:t xml:space="preserve">。产品生产厂家或经销商</w:t>
            </w:r>
            <w:r>
              <w:rPr>
                <w:rFonts w:hint="eastAsia" w:ascii="宋体" w:hAnsi="宋体" w:eastAsia="宋体" w:cs="宋体"/>
                <w:b/>
                <w:bCs/>
                <w:color w:val="auto"/>
                <w:sz w:val="21"/>
                <w:szCs w:val="21"/>
                <w:highlight w:val="none"/>
              </w:rPr>
              <w:t xml:space="preserve">提供近 3 年</w:t>
            </w:r>
            <w:r>
              <w:rPr>
                <w:rFonts w:hint="eastAsia" w:ascii="宋体" w:hAnsi="宋体" w:eastAsia="宋体" w:cs="宋体"/>
                <w:b/>
                <w:bCs/>
                <w:color w:val="auto"/>
                <w:sz w:val="21"/>
                <w:szCs w:val="21"/>
                <w:highlight w:val="none"/>
                <w:lang w:val="en-US" w:eastAsia="zh-CN"/>
              </w:rPr>
              <w:t xml:space="preserve">投标产品或</w:t>
            </w:r>
            <w:r>
              <w:rPr>
                <w:rFonts w:hint="eastAsia" w:ascii="宋体" w:hAnsi="宋体" w:eastAsia="宋体" w:cs="宋体"/>
                <w:b/>
                <w:bCs/>
                <w:color w:val="auto"/>
                <w:sz w:val="21"/>
                <w:szCs w:val="21"/>
                <w:highlight w:val="none"/>
              </w:rPr>
              <w:t xml:space="preserve">类似</w:t>
            </w:r>
            <w:r>
              <w:rPr>
                <w:rFonts w:hint="eastAsia" w:ascii="宋体" w:hAnsi="宋体" w:eastAsia="宋体" w:cs="宋体"/>
                <w:b/>
                <w:bCs/>
                <w:color w:val="auto"/>
                <w:sz w:val="21"/>
                <w:szCs w:val="21"/>
                <w:highlight w:val="none"/>
                <w:lang w:val="en-US" w:eastAsia="zh-CN"/>
              </w:rPr>
              <w:t xml:space="preserve">产品</w:t>
            </w:r>
            <w:r>
              <w:rPr>
                <w:rFonts w:hint="eastAsia" w:ascii="宋体" w:hAnsi="宋体" w:eastAsia="宋体" w:cs="宋体"/>
                <w:b/>
                <w:bCs/>
                <w:color w:val="auto"/>
                <w:sz w:val="21"/>
                <w:szCs w:val="21"/>
                <w:highlight w:val="none"/>
              </w:rPr>
              <w:t xml:space="preserve">经营业绩用户评价意见(须在投标文件中提供相关证明文件扫描件，否则此项不得分)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。用户综合评价意见为“</w:t>
            </w:r>
            <w:r>
              <w:rPr>
                <w:rFonts w:hint="eastAsia" w:ascii="宋体" w:hAnsi="宋体" w:eastAsia="宋体" w:cs="宋体"/>
                <w:b/>
                <w:bCs/>
                <w:color w:val="auto"/>
                <w:sz w:val="21"/>
                <w:szCs w:val="21"/>
                <w:highlight w:val="none"/>
                <w:lang w:val="en-US" w:eastAsia="zh-CN"/>
              </w:rPr>
              <w:t xml:space="preserve">优秀或满意</w:t>
            </w:r>
            <w:r>
              <w:rPr>
                <w:rFonts w:hint="eastAsia" w:ascii="宋体" w:hAnsi="宋体" w:eastAsia="宋体" w:cs="宋体"/>
                <w:b/>
                <w:bCs/>
                <w:color w:val="auto"/>
                <w:sz w:val="21"/>
                <w:szCs w:val="21"/>
                <w:highlight w:val="none"/>
              </w:rPr>
              <w:t xml:space="preserve">”的，每一份 </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 分。最多</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 5 分</w:t>
            </w:r>
            <w:r>
              <w:rPr>
                <w:rFonts w:hint="eastAsia" w:ascii="宋体" w:hAnsi="宋体" w:eastAsia="宋体" w:cs="宋体"/>
                <w:b/>
                <w:bCs/>
                <w:color w:val="auto"/>
                <w:sz w:val="21"/>
                <w:szCs w:val="21"/>
                <w:highlight w:val="none"/>
                <w:lang w:eastAsia="zh-CN"/>
              </w:rPr>
              <w:t xml:space="preserve">。</w:t>
            </w:r>
            <w:r/>
          </w:p>
        </w:tc>
      </w:tr>
      <w:tr>
        <w:trPr>
          <w:jc w:val="center"/>
          <w:trHeight w:val="1101"/>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具有与本项目招标货物相关的有效专利证书，每提供一个得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 )</w:t>
            </w:r>
            <w:r/>
          </w:p>
        </w:tc>
      </w:tr>
    </w:tbl>
    <w:p>
      <w:pPr>
        <w:pStyle w:val="724"/>
        <w:numPr>
          <w:ilvl w:val="0"/>
          <w:numId w:val="0"/>
        </w:numPr>
        <w:ind w:firstLine="480"/>
        <w:spacing w:line="360" w:lineRule="auto"/>
        <w:tabs>
          <w:tab w:val="left" w:pos="720" w:leader="none"/>
          <w:tab w:val="clear" w:pos="91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五、</w:t>
      </w: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24"/>
        <w:numPr>
          <w:ilvl w:val="0"/>
          <w:numId w:val="0"/>
        </w:numPr>
        <w:spacing w:line="360" w:lineRule="auto"/>
        <w:tabs>
          <w:tab w:val="left" w:pos="720" w:leader="none"/>
          <w:tab w:val="clear" w:pos="91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bookmarkStart w:id="196" w:name="_Toc2728"/>
      <w:r/>
      <w:bookmarkStart w:id="197" w:name="_Toc29155"/>
      <w:r/>
      <w:bookmarkStart w:id="198" w:name="_Toc28724"/>
      <w:r/>
      <w:bookmarkStart w:id="199" w:name="_Toc465856616"/>
      <w:r/>
      <w:r/>
    </w:p>
    <w:p>
      <w:pPr>
        <w:pStyle w:val="679"/>
        <w:rPr>
          <w:rFonts w:hint="eastAsia" w:ascii="宋体" w:hAnsi="宋体" w:eastAsia="宋体" w:cs="宋体"/>
          <w:color w:val="auto"/>
          <w:highlight w:val="none"/>
        </w:rPr>
      </w:pPr>
      <w:r/>
      <w:bookmarkStart w:id="200" w:name="_Toc9369"/>
      <w:r>
        <w:rPr>
          <w:rFonts w:hint="eastAsia" w:ascii="宋体" w:hAnsi="宋体" w:eastAsia="宋体" w:cs="宋体"/>
          <w:color w:val="auto"/>
          <w:highlight w:val="none"/>
        </w:rPr>
        <w:t xml:space="preserve">第六章  响应文件格式</w:t>
      </w:r>
      <w:bookmarkEnd w:id="196"/>
      <w:r/>
      <w:bookmarkEnd w:id="197"/>
      <w:r/>
      <w:bookmarkEnd w:id="198"/>
      <w:r/>
      <w:bookmarkEnd w:id="199"/>
      <w:r/>
      <w:bookmarkEnd w:id="200"/>
      <w:r/>
      <w:r/>
    </w:p>
    <w:p>
      <w:pPr>
        <w:pStyle w:val="701"/>
        <w:ind w:left="1874" w:right="147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szCs w:val="21"/>
          <w:highlight w:val="none"/>
        </w:rPr>
        <w:outlineLvl w:val="0"/>
      </w:pPr>
      <w:r/>
      <w:bookmarkStart w:id="201" w:name="_Toc6410"/>
      <w:r/>
      <w:bookmarkStart w:id="202" w:name="_Toc5501"/>
      <w:r/>
      <w:bookmarkStart w:id="203" w:name="_Toc28003"/>
      <w:r/>
      <w:bookmarkStart w:id="204" w:name="_Toc120614284"/>
      <w:r/>
      <w:bookmarkStart w:id="205" w:name="_Toc26554103"/>
      <w:r/>
      <w:bookmarkStart w:id="206" w:name="_Toc23828483"/>
      <w:r/>
      <w:bookmarkStart w:id="207" w:name="_Toc513029281"/>
      <w:r/>
      <w:bookmarkStart w:id="208" w:name="_Toc49090582"/>
      <w:r/>
      <w:bookmarkStart w:id="209" w:name="_Toc120614291"/>
      <w:r/>
      <w:bookmarkStart w:id="210" w:name="_Toc24878535"/>
      <w:r/>
      <w:bookmarkStart w:id="211" w:name="_Toc22356583"/>
      <w:r/>
      <w:r/>
    </w:p>
    <w:p>
      <w:pPr>
        <w:jc w:val="center"/>
        <w:rPr>
          <w:rFonts w:hint="eastAsia" w:ascii="宋体" w:hAnsi="宋体" w:eastAsia="宋体" w:cs="宋体"/>
          <w:b/>
          <w:color w:val="auto"/>
          <w:sz w:val="72"/>
          <w:szCs w:val="21"/>
          <w:highlight w:val="none"/>
        </w:rPr>
        <w:outlineLvl w:val="0"/>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rPr>
          <w:rFonts w:hint="eastAsia" w:ascii="宋体" w:hAnsi="宋体" w:eastAsia="宋体" w:cs="宋体"/>
          <w:b/>
          <w:color w:val="auto"/>
          <w:sz w:val="72"/>
          <w:szCs w:val="21"/>
          <w:highlight w:val="none"/>
        </w:rPr>
        <w:t xml:space="preserve">竞争性磋商响应文件</w:t>
      </w:r>
      <w:bookmarkEnd w:id="201"/>
      <w:r/>
      <w:bookmarkEnd w:id="202"/>
      <w:r/>
      <w:bookmarkEnd w:id="203"/>
      <w:r/>
      <w:r/>
    </w:p>
    <w:p>
      <w:pPr>
        <w:pStyle w:val="921"/>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bookmarkStart w:id="212" w:name="_Toc14441"/>
      <w:r/>
      <w:bookmarkStart w:id="213" w:name="_Toc30592"/>
      <w:r/>
      <w:bookmarkStart w:id="214" w:name="_Toc20450"/>
      <w:r>
        <w:rPr>
          <w:rFonts w:hint="eastAsia" w:ascii="宋体" w:hAnsi="宋体" w:eastAsia="宋体" w:cs="宋体"/>
          <w:b/>
          <w:color w:val="auto"/>
          <w:sz w:val="36"/>
          <w:szCs w:val="21"/>
          <w:highlight w:val="none"/>
        </w:rPr>
        <w:t xml:space="preserve">（正或副）本</w:t>
      </w:r>
      <w:bookmarkEnd w:id="212"/>
      <w:r/>
      <w:bookmarkEnd w:id="213"/>
      <w:r/>
      <w:bookmarkEnd w:id="214"/>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215" w:name="_Toc11842"/>
      <w:r/>
      <w:bookmarkStart w:id="216" w:name="_Toc12634"/>
      <w:r/>
      <w:bookmarkStart w:id="217" w:name="_Toc18820"/>
      <w:r>
        <w:rPr>
          <w:rFonts w:hint="eastAsia" w:ascii="宋体" w:hAnsi="宋体" w:eastAsia="宋体" w:cs="宋体"/>
          <w:b/>
          <w:color w:val="auto"/>
          <w:sz w:val="36"/>
          <w:highlight w:val="none"/>
        </w:rPr>
        <w:t xml:space="preserve">标 段 名 称：</w:t>
      </w:r>
      <w:bookmarkEnd w:id="215"/>
      <w:r/>
      <w:bookmarkEnd w:id="216"/>
      <w:r/>
      <w:bookmarkEnd w:id="217"/>
      <w:r/>
      <w:r/>
    </w:p>
    <w:p>
      <w:pPr>
        <w:ind w:firstLine="1084"/>
        <w:rPr>
          <w:rFonts w:hint="eastAsia" w:ascii="宋体" w:hAnsi="宋体" w:eastAsia="宋体" w:cs="宋体"/>
          <w:b/>
          <w:color w:val="auto"/>
          <w:sz w:val="36"/>
          <w:highlight w:val="none"/>
          <w:u w:val="single"/>
        </w:rPr>
        <w:outlineLvl w:val="0"/>
      </w:pPr>
      <w:r/>
      <w:bookmarkStart w:id="218" w:name="_Toc20410"/>
      <w:r/>
      <w:bookmarkStart w:id="219" w:name="_Toc2962"/>
      <w:r/>
      <w:bookmarkStart w:id="220" w:name="_Toc31102"/>
      <w:r>
        <w:rPr>
          <w:rFonts w:hint="eastAsia" w:ascii="宋体" w:hAnsi="宋体" w:eastAsia="宋体" w:cs="宋体"/>
          <w:b/>
          <w:color w:val="auto"/>
          <w:sz w:val="36"/>
          <w:highlight w:val="none"/>
        </w:rPr>
        <w:t xml:space="preserve">标 段 编 号：</w:t>
      </w:r>
      <w:bookmarkEnd w:id="218"/>
      <w:r/>
      <w:bookmarkEnd w:id="219"/>
      <w:r/>
      <w:bookmarkEnd w:id="220"/>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21" w:name="_Toc27874"/>
      <w:r/>
      <w:bookmarkStart w:id="222" w:name="_Toc12100"/>
      <w:r/>
      <w:bookmarkStart w:id="223" w:name="_Toc2814"/>
      <w:r>
        <w:rPr>
          <w:rFonts w:hint="eastAsia" w:ascii="宋体" w:hAnsi="宋体" w:eastAsia="宋体" w:cs="宋体"/>
          <w:b/>
          <w:color w:val="auto"/>
          <w:sz w:val="32"/>
          <w:szCs w:val="32"/>
          <w:highlight w:val="none"/>
        </w:rPr>
        <w:t xml:space="preserve">磋商供应商名称：</w:t>
      </w:r>
      <w:bookmarkEnd w:id="221"/>
      <w:r/>
      <w:bookmarkEnd w:id="222"/>
      <w:r/>
      <w:bookmarkEnd w:id="223"/>
      <w:r/>
      <w:r/>
    </w:p>
    <w:p>
      <w:pPr>
        <w:ind w:firstLine="964"/>
        <w:rPr>
          <w:rFonts w:hint="eastAsia" w:ascii="宋体" w:hAnsi="宋体" w:eastAsia="宋体" w:cs="宋体"/>
          <w:b/>
          <w:color w:val="auto"/>
          <w:sz w:val="32"/>
          <w:szCs w:val="32"/>
          <w:highlight w:val="none"/>
        </w:rPr>
        <w:outlineLvl w:val="0"/>
      </w:pPr>
      <w:r/>
      <w:bookmarkStart w:id="224" w:name="_Toc16685"/>
      <w:r/>
      <w:bookmarkStart w:id="225" w:name="_Toc14811"/>
      <w:r/>
      <w:bookmarkStart w:id="226" w:name="_Toc4106"/>
      <w:r>
        <w:rPr>
          <w:rFonts w:hint="eastAsia" w:ascii="宋体" w:hAnsi="宋体" w:eastAsia="宋体" w:cs="宋体"/>
          <w:b/>
          <w:color w:val="auto"/>
          <w:sz w:val="32"/>
          <w:szCs w:val="32"/>
          <w:highlight w:val="none"/>
        </w:rPr>
        <w:t xml:space="preserve">磋商供应商地址：</w:t>
      </w:r>
      <w:bookmarkEnd w:id="224"/>
      <w:r/>
      <w:bookmarkEnd w:id="225"/>
      <w:r/>
      <w:bookmarkEnd w:id="226"/>
      <w:r/>
      <w:r/>
    </w:p>
    <w:p>
      <w:pPr>
        <w:ind w:firstLine="964"/>
        <w:rPr>
          <w:rFonts w:hint="eastAsia" w:ascii="宋体" w:hAnsi="宋体" w:eastAsia="宋体" w:cs="宋体"/>
          <w:b/>
          <w:color w:val="auto"/>
          <w:sz w:val="32"/>
          <w:szCs w:val="32"/>
          <w:highlight w:val="none"/>
        </w:rPr>
        <w:outlineLvl w:val="0"/>
      </w:pPr>
      <w:r/>
      <w:bookmarkStart w:id="227" w:name="_Toc20377"/>
      <w:r/>
      <w:bookmarkStart w:id="228" w:name="_Toc3122"/>
      <w:r/>
      <w:bookmarkStart w:id="229" w:name="_Toc8534"/>
      <w:r>
        <w:rPr>
          <w:rFonts w:hint="eastAsia" w:ascii="宋体" w:hAnsi="宋体" w:eastAsia="宋体" w:cs="宋体"/>
          <w:b/>
          <w:color w:val="auto"/>
          <w:sz w:val="32"/>
          <w:szCs w:val="32"/>
          <w:highlight w:val="none"/>
        </w:rPr>
        <w:t xml:space="preserve">法定代表人：</w:t>
      </w:r>
      <w:bookmarkEnd w:id="227"/>
      <w:r/>
      <w:bookmarkEnd w:id="228"/>
      <w:r/>
      <w:bookmarkEnd w:id="229"/>
      <w:r/>
      <w:r/>
    </w:p>
    <w:p>
      <w:pPr>
        <w:ind w:firstLine="964"/>
        <w:rPr>
          <w:rFonts w:hint="eastAsia" w:ascii="宋体" w:hAnsi="宋体" w:eastAsia="宋体" w:cs="宋体"/>
          <w:b/>
          <w:color w:val="auto"/>
          <w:sz w:val="32"/>
          <w:szCs w:val="32"/>
          <w:highlight w:val="none"/>
        </w:rPr>
        <w:outlineLvl w:val="0"/>
      </w:pPr>
      <w:r/>
      <w:bookmarkStart w:id="230" w:name="_Toc32348"/>
      <w:r/>
      <w:bookmarkStart w:id="231" w:name="_Toc19725"/>
      <w:r/>
      <w:bookmarkStart w:id="232" w:name="_Toc13717"/>
      <w:r>
        <w:rPr>
          <w:rFonts w:hint="eastAsia" w:ascii="宋体" w:hAnsi="宋体" w:eastAsia="宋体" w:cs="宋体"/>
          <w:b/>
          <w:color w:val="auto"/>
          <w:sz w:val="32"/>
          <w:szCs w:val="32"/>
          <w:highlight w:val="none"/>
        </w:rPr>
        <w:t xml:space="preserve">委托代理人：（委托代理时填写）</w:t>
      </w:r>
      <w:bookmarkEnd w:id="230"/>
      <w:r/>
      <w:bookmarkEnd w:id="231"/>
      <w:r/>
      <w:bookmarkEnd w:id="232"/>
      <w:r/>
      <w:r/>
    </w:p>
    <w:p>
      <w:pPr>
        <w:ind w:firstLine="964"/>
        <w:rPr>
          <w:rFonts w:hint="eastAsia" w:ascii="宋体" w:hAnsi="宋体" w:eastAsia="宋体" w:cs="宋体"/>
          <w:b/>
          <w:color w:val="auto"/>
          <w:sz w:val="32"/>
          <w:szCs w:val="32"/>
          <w:highlight w:val="none"/>
        </w:rPr>
        <w:outlineLvl w:val="0"/>
      </w:pPr>
      <w:r/>
      <w:bookmarkStart w:id="233" w:name="_Toc31683"/>
      <w:r/>
      <w:bookmarkStart w:id="234" w:name="_Toc24742"/>
      <w:r/>
      <w:bookmarkStart w:id="235" w:name="_Toc12338"/>
      <w:r>
        <w:rPr>
          <w:rFonts w:hint="eastAsia" w:ascii="宋体" w:hAnsi="宋体" w:eastAsia="宋体" w:cs="宋体"/>
          <w:b/>
          <w:color w:val="auto"/>
          <w:sz w:val="32"/>
          <w:szCs w:val="32"/>
          <w:highlight w:val="none"/>
        </w:rPr>
        <w:t xml:space="preserve">日      期：</w:t>
      </w:r>
      <w:bookmarkEnd w:id="233"/>
      <w:r/>
      <w:bookmarkEnd w:id="234"/>
      <w:r/>
      <w:bookmarkEnd w:id="235"/>
      <w:r/>
      <w:r/>
    </w:p>
    <w:p>
      <w:pPr>
        <w:pStyle w:val="921"/>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92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2"/>
          <w:szCs w:val="32"/>
          <w:highlight w:val="none"/>
        </w:rPr>
        <w:outlineLvl w:val="0"/>
      </w:pPr>
      <w:r/>
      <w:bookmarkStart w:id="236" w:name="_Toc10241"/>
      <w:r/>
      <w:bookmarkStart w:id="237" w:name="_Toc15296"/>
      <w:r/>
      <w:bookmarkStart w:id="238" w:name="_Toc4212"/>
      <w:r>
        <w:rPr>
          <w:rFonts w:hint="eastAsia" w:ascii="宋体" w:hAnsi="宋体" w:eastAsia="宋体" w:cs="宋体"/>
          <w:b/>
          <w:color w:val="auto"/>
          <w:sz w:val="32"/>
          <w:szCs w:val="32"/>
          <w:highlight w:val="none"/>
        </w:rPr>
        <w:t xml:space="preserve">一、磋商响应函</w:t>
      </w:r>
      <w:bookmarkEnd w:id="236"/>
      <w:r/>
      <w:bookmarkEnd w:id="237"/>
      <w:r/>
      <w:bookmarkEnd w:id="238"/>
      <w:r/>
      <w:r/>
    </w:p>
    <w:p>
      <w:pPr>
        <w:pStyle w:val="932"/>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p>
    <w:p>
      <w:pPr>
        <w:pStyle w:val="932"/>
        <w:ind w:firstLine="482"/>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 （标段编号： ）磋商文件，正式授权下述签字人_________ 代表我方______________参加贵方组织的采购磋商活动，按照竞争性磋商文件要求提交响应文件。</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1、按磋商文件项目需求提交磋商报价，报价、供货期等详见开标一览表。</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2、我方同意在本标段磋商文件中规定的响应文件递交截止之日起60天内遵守本响应文件中的承诺且在此期限期满之前均具有约束力。</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3、我方承诺已经具备《中华人民共和国政府采购法》中规定的参加政府采购活动的供应商应当具备的条件：</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（5）参加此项采购活动前三年内，在经营活动中没有重大违法记录。</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4、我方根据磋商文件的规定，承担完成合同的责任和义务。</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5、我方已详细审核磋商文件，我方知道必须放弃提出含糊不清或误解问题的权利。</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6、我方保证在响应文件有效期内不撤回、保证没有其他违约行为。</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7、同意应贵方要求提供与本次采购活动有关的任何数据或资料。</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8、我方完全理解，最低报价不是中标（成交）的唯一条件。</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9、若贵方需要，我方愿意提供我方作出的一切承诺的证明材料。</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（1）提供虚假材料谋取中标、成交的；</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（2）采取不正当手段诋毁、排挤其他供应商的；</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（3）与采购人、其他供应商或者采购代理机构恶意串通的；</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（4）向采购人、采购代理机构行贿或者提供其他不正当利益的；</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（5）在采购过程中与采购人进行协商谈判的；</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（6）拒绝有关部门监督检查或提供虚假情况的。</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法定代表人或其委托代理人签字（或盖章）：</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供应商公章：</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5"/>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u w:val="single"/>
        </w:rPr>
        <w:br w:type="page" w:clear="all"/>
      </w:r>
      <w:bookmarkStart w:id="239" w:name="_Toc25494"/>
      <w:r/>
      <w:bookmarkStart w:id="240" w:name="_Toc14836"/>
      <w:r/>
      <w:bookmarkStart w:id="241" w:name="_Toc20569"/>
      <w:r>
        <w:rPr>
          <w:rFonts w:hint="eastAsia" w:ascii="宋体" w:hAnsi="宋体" w:eastAsia="宋体" w:cs="宋体"/>
          <w:b/>
          <w:color w:val="auto"/>
          <w:sz w:val="32"/>
          <w:szCs w:val="32"/>
          <w:highlight w:val="none"/>
        </w:rPr>
        <w:t xml:space="preserve">二、磋商响应首次报价表</w:t>
      </w:r>
      <w:bookmarkEnd w:id="239"/>
      <w:r/>
      <w:bookmarkEnd w:id="240"/>
      <w:r/>
      <w:bookmarkEnd w:id="241"/>
      <w:r>
        <w:rPr>
          <w:rFonts w:hint="eastAsia" w:ascii="宋体" w:hAnsi="宋体" w:eastAsia="宋体" w:cs="宋体"/>
          <w:b/>
          <w:color w:val="auto"/>
          <w:sz w:val="32"/>
          <w:szCs w:val="32"/>
          <w:highlight w:val="none"/>
        </w:rPr>
        <w:t xml:space="preserve">（开标一览表）</w:t>
      </w:r>
      <w:r/>
    </w:p>
    <w:p>
      <w:pPr>
        <w:pStyle w:val="679"/>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标段名称：</w:t>
      </w:r>
      <w:r/>
    </w:p>
    <w:p>
      <w:pPr>
        <w:pStyle w:val="6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标段编号：                                                 单位：人民币元</w:t>
      </w:r>
      <w:r/>
    </w:p>
    <w:tbl>
      <w:tblPr>
        <w:tblStyle w:val="689"/>
        <w:tblpPr w:horzAnchor="margin" w:tblpXSpec="center" w:vertAnchor="text" w:tblpY="225" w:leftFromText="180" w:topFromText="0" w:rightFromText="180" w:bottomFromText="0"/>
        <w:tblW w:w="49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4"/>
        <w:gridCol w:w="7159"/>
      </w:tblGrid>
      <w:tr>
        <w:trPr>
          <w:cantSplit/>
          <w:trHeight w:val="735"/>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标题</w:t>
            </w:r>
            <w:r/>
          </w:p>
        </w:tc>
        <w:tc>
          <w:tcPr>
            <w:tcW w:w="3662"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内容</w:t>
            </w:r>
            <w:r/>
          </w:p>
        </w:tc>
      </w:tr>
      <w:tr>
        <w:trPr>
          <w:cantSplit/>
          <w:trHeight w:val="1690"/>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磋商总报价</w:t>
            </w:r>
            <w:r/>
          </w:p>
        </w:tc>
        <w:tc>
          <w:tcPr>
            <w:tcW w:w="3662" w:type="pct"/>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699"/>
              <w:ind w:firstLine="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小写：</w:t>
            </w:r>
            <w:r/>
          </w:p>
        </w:tc>
      </w:tr>
      <w:tr>
        <w:trPr>
          <w:cantSplit/>
          <w:trHeight w:val="1690"/>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供货期限</w:t>
            </w:r>
            <w:r/>
          </w:p>
        </w:tc>
        <w:tc>
          <w:tcPr>
            <w:tcW w:w="3662" w:type="pct"/>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合同签订之日起</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 xml:space="preserve">内完成全部供货</w:t>
            </w:r>
            <w:r/>
          </w:p>
        </w:tc>
      </w:tr>
    </w:tbl>
    <w:p>
      <w:pPr>
        <w:pStyle w:val="704"/>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8"/>
          <w:szCs w:val="28"/>
          <w:highlight w:val="none"/>
        </w:rPr>
        <w:t xml:space="preserve">注：本项目磋商总报价=预算金额，磋商报价得分按供应商所投产品的每吨单价计算。本项目为固定单价合同。</w:t>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pStyle w:val="968"/>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04"/>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04"/>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1、该首次磋商报价表非本项目磋商中的最后报价。</w:t>
      </w:r>
      <w:r/>
    </w:p>
    <w:p>
      <w:pPr>
        <w:pStyle w:val="704"/>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2、未按照本磋商响应首次报价表（开标一览表）的格式要求填写的，将造成非实质性响应。</w:t>
      </w:r>
      <w:r/>
    </w:p>
    <w:p>
      <w:pPr>
        <w:pStyle w:val="70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磋商总报价为完成本项目全部费用，包括但不限于人工、产品生产、包装、运输、机械、仓储、质量检验、验收、售后服务、保险、税费以及可能产生的为完成本项目的一切费用。乙方应已考虑履行本项目的所有市场风险，包括但不限于人力成本的增加和原材料的价格上涨、国家宏观调控、经济环境变化等因素。甲方在上述合同价款之外不再向乙方支付其他任何费用。</w:t>
      </w:r>
      <w:r/>
    </w:p>
    <w:p>
      <w:pPr>
        <w:pStyle w:val="70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0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0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04"/>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三、磋商响应报价明细表</w:t>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标段名称： </w:t>
      </w:r>
      <w:r/>
    </w:p>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w:t>
      </w:r>
      <w:r/>
    </w:p>
    <w:tbl>
      <w:tblPr>
        <w:tblStyle w:val="689"/>
        <w:tblW w:w="4992"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1237"/>
        <w:gridCol w:w="1156"/>
        <w:gridCol w:w="973"/>
        <w:gridCol w:w="1174"/>
        <w:gridCol w:w="1266"/>
        <w:gridCol w:w="972"/>
        <w:gridCol w:w="1266"/>
        <w:gridCol w:w="1266"/>
      </w:tblGrid>
      <w:tr>
        <w:trPr>
          <w:trHeight w:val="608"/>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生产厂商</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包装规格</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单位（吨）</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合计（元）</w:t>
            </w:r>
            <w:r/>
          </w:p>
        </w:tc>
      </w:tr>
      <w:tr>
        <w:trPr>
          <w:trHeight w:val="542"/>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5"/>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7"/>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7"/>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52"/>
        </w:trPr>
        <w:tc>
          <w:tcPr>
            <w:gridSpan w:val="7"/>
            <w:tcBorders>
              <w:top w:val="single" w:color="auto" w:sz="4" w:space="0"/>
              <w:left w:val="single" w:color="auto" w:sz="4" w:space="0"/>
              <w:bottom w:val="single" w:color="auto" w:sz="4" w:space="0"/>
              <w:right w:val="single" w:color="auto" w:sz="4" w:space="0"/>
            </w:tcBorders>
            <w:tcW w:w="3687"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总计：（人民币大写）元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pStyle w:val="96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04"/>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695"/>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1、该表报价非本次磋商中的最后报价。</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2、本项目最终结算价按照磋商首次报价与最后报价同比例变动 </w:t>
      </w:r>
      <w:r/>
    </w:p>
    <w:p>
      <w:pPr>
        <w:pStyle w:val="96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2"/>
          <w:szCs w:val="32"/>
          <w:highlight w:val="none"/>
        </w:rPr>
        <w:outlineLvl w:val="0"/>
      </w:pPr>
      <w:r/>
      <w:bookmarkStart w:id="242" w:name="_Toc14505"/>
      <w:r/>
      <w:bookmarkStart w:id="243" w:name="_Toc26401"/>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四、中小企业声明函</w:t>
      </w:r>
      <w:r/>
    </w:p>
    <w:p>
      <w:pPr>
        <w:pStyle w:val="67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（标段名称）</w:t>
      </w:r>
      <w:r>
        <w:rPr>
          <w:rFonts w:hint="eastAsia" w:ascii="宋体" w:hAnsi="宋体" w:eastAsia="宋体" w:cs="宋体"/>
          <w:color w:val="auto"/>
          <w:sz w:val="24"/>
          <w:highlight w:val="none"/>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（磋商文件中明确的所属行业）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（磋商文件中明确的所属行业）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期：年月日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填报说明：</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1、从业人员、营业收入、资产总额填报上一年度数据，无上一年度数据的新成立企业可不填报。</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3、成交供应商的《中小企业声明函》随成交结果公开。</w:t>
      </w:r>
      <w:r/>
    </w:p>
    <w:p>
      <w:pPr>
        <w:pStyle w:val="698"/>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9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企业名称（盖章）：</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highlight w:val="none"/>
        </w:rPr>
        <w:t xml:space="preserve">　　　　　　　　　　　　　　　　　　日期：年月日</w:t>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填报说明：</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2、成交供应商的《残疾人福利性单位声明函》随成交结果公开。</w:t>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Cs w:val="21"/>
          <w:highlight w:val="none"/>
          <w:u w:val="single"/>
        </w:rPr>
        <w:br w:type="page" w:clear="all"/>
      </w:r>
      <w:r>
        <w:rPr>
          <w:rFonts w:hint="eastAsia" w:ascii="宋体" w:hAnsi="宋体" w:eastAsia="宋体" w:cs="宋体"/>
          <w:b/>
          <w:color w:val="auto"/>
          <w:sz w:val="32"/>
          <w:szCs w:val="32"/>
          <w:highlight w:val="none"/>
        </w:rPr>
        <w:t xml:space="preserve">五、资格证明文件</w:t>
      </w:r>
      <w:bookmarkEnd w:id="242"/>
      <w:r/>
      <w:bookmarkEnd w:id="24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信用中国”查询，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并上传至电子响应文件中，具体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4、本项目的其他资格要求：供应商/投标主体及其法定代表人、项目负责人未被列入“连云港市赣榆区行贿人联合惩戒信息库。</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备注:采购人/招标人和区公共资源交易中心通过赣榆区行贿人联合惩戒信息库，对供应商/投标主体情况进行内部查询，查询结果页面打印留存。</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31"/>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6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6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6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p>
    <w:p>
      <w:pPr>
        <w:ind w:firstLine="49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color w:val="auto"/>
          <w:sz w:val="32"/>
          <w:szCs w:val="32"/>
          <w:highlight w:val="none"/>
        </w:rPr>
        <w:t xml:space="preserve">参加本采购活动前3年内在经营活动中没有重大违法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我公司郑重声明：参加本次采购活动前3年内，我公司在经营活动中没有因违法经营受到刑事处罚或者责令停产停业、吊销许可证或者执照、较大数额罚款等行政处罚。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left"/>
        <w:spacing w:before="5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68"/>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6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44" w:name="_Toc91183849"/>
      <w:r/>
      <w:bookmarkStart w:id="245" w:name="_Toc91256337"/>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六、法定代表人授权委托书</w:t>
      </w:r>
      <w:bookmarkEnd w:id="244"/>
      <w:bookmarkEnd w:id="245"/>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04"/>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rPr>
        <w:t xml:space="preserve">【标段编号】</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本授权书于年月日签字（或盖章）生效，特此声明。</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签发日期：年月日</w:t>
      </w:r>
      <w:r/>
    </w:p>
    <w:p>
      <w:pPr>
        <w:pStyle w:val="704"/>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附法定代表人与委托代理人身份证正反面原件扫描件。</w:t>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0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0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70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704"/>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color w:val="auto"/>
          <w:sz w:val="32"/>
          <w:szCs w:val="32"/>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32"/>
          <w:szCs w:val="32"/>
          <w:highlight w:val="none"/>
        </w:rPr>
        <w:t xml:space="preserve">七、</w:t>
      </w:r>
      <w:r>
        <w:rPr>
          <w:rFonts w:hint="eastAsia" w:ascii="宋体" w:hAnsi="宋体" w:eastAsia="宋体" w:cs="宋体"/>
          <w:b/>
          <w:color w:val="auto"/>
          <w:sz w:val="32"/>
          <w:szCs w:val="32"/>
          <w:highlight w:val="none"/>
        </w:rPr>
        <w:t xml:space="preserve">商务条款偏离表</w:t>
      </w:r>
      <w:r/>
    </w:p>
    <w:p>
      <w:pPr>
        <w:pStyle w:val="679"/>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704"/>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磋商文件“项目需求”等内容要求的商务条件，填写该表。</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tcPr>
          <w:p>
            <w:pPr>
              <w:pStyle w:val="70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tcPr>
          <w:p>
            <w:pPr>
              <w:pStyle w:val="70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tcPr>
          <w:p>
            <w:pPr>
              <w:pStyle w:val="70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tcPr>
          <w:p>
            <w:pPr>
              <w:pStyle w:val="704"/>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04"/>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0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704"/>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日期：______年月日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679"/>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6"/>
        </w:numPr>
        <w:jc w:val="center"/>
        <w:spacing w:line="360" w:lineRule="auto"/>
        <w:rPr>
          <w:rFonts w:hint="eastAsia" w:ascii="宋体" w:hAnsi="宋体" w:eastAsia="宋体" w:cs="宋体"/>
          <w:b/>
          <w:bCs/>
          <w:color w:val="auto"/>
          <w:sz w:val="32"/>
          <w:szCs w:val="32"/>
          <w:highlight w:val="none"/>
        </w:rPr>
        <w:outlineLvl w:val="0"/>
      </w:pPr>
      <w:r/>
      <w:bookmarkStart w:id="246" w:name="_Toc32188"/>
      <w:r/>
      <w:bookmarkStart w:id="247" w:name="_Toc3470"/>
      <w:r/>
      <w:bookmarkStart w:id="248" w:name="_Toc25888"/>
      <w:r>
        <w:rPr>
          <w:rFonts w:hint="eastAsia" w:ascii="宋体" w:hAnsi="宋体" w:eastAsia="宋体" w:cs="宋体"/>
          <w:b/>
          <w:bCs/>
          <w:color w:val="auto"/>
          <w:sz w:val="32"/>
          <w:szCs w:val="32"/>
          <w:highlight w:val="none"/>
        </w:rPr>
        <w:t xml:space="preserve">类似项目供货业绩一览表</w:t>
      </w:r>
      <w:bookmarkEnd w:id="246"/>
      <w:r/>
      <w:bookmarkEnd w:id="247"/>
      <w:r/>
      <w:bookmarkEnd w:id="248"/>
      <w:r/>
      <w:r/>
    </w:p>
    <w:p>
      <w:pPr>
        <w:pStyle w:val="965"/>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9"/>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9"/>
        <w:gridCol w:w="1695"/>
        <w:gridCol w:w="1515"/>
        <w:gridCol w:w="1840"/>
        <w:gridCol w:w="3060"/>
        <w:gridCol w:w="635"/>
      </w:tblGrid>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采购单位名称</w:t>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采购单位联系人及电话</w:t>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72"/>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后附：按评分标准要求提供类似合同供货业绩，表格不够自行添加。</w:t>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695"/>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九、技术规格偏离表</w:t>
      </w:r>
      <w:r/>
    </w:p>
    <w:p>
      <w:pPr>
        <w:pStyle w:val="704"/>
        <w:ind w:firstLine="480"/>
        <w:jc w:val="left"/>
        <w:spacing w:line="360" w:lineRule="auto"/>
        <w:rPr>
          <w:rFonts w:hint="eastAsia" w:ascii="宋体" w:hAnsi="宋体" w:eastAsia="宋体" w:cs="宋体"/>
          <w:b/>
          <w:color w:val="auto"/>
          <w:sz w:val="36"/>
          <w:szCs w:val="28"/>
          <w:highlight w:val="none"/>
        </w:rPr>
      </w:pPr>
      <w:r>
        <w:rPr>
          <w:rFonts w:hint="eastAsia" w:ascii="宋体" w:hAnsi="宋体" w:eastAsia="宋体" w:cs="宋体"/>
          <w:color w:val="auto"/>
          <w:sz w:val="24"/>
          <w:szCs w:val="24"/>
          <w:highlight w:val="none"/>
        </w:rPr>
        <w:t xml:space="preserve">请按所投产品的实际技术参数，逐条对应磋商文件的“项目需求”中要求的技术规范认真填写该表。</w:t>
      </w:r>
      <w:r/>
    </w:p>
    <w:tbl>
      <w:tblPr>
        <w:tblStyle w:val="6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3570"/>
        <w:gridCol w:w="3570"/>
        <w:gridCol w:w="1409"/>
      </w:tblGrid>
      <w:tr>
        <w:trPr>
          <w:cantSplit/>
          <w:trHeight w:val="1062"/>
        </w:trPr>
        <w:tc>
          <w:tcPr>
            <w:tcW w:w="706" w:type="pct"/>
            <w:vAlign w:val="center"/>
            <w:textDirection w:val="lrTb"/>
            <w:noWrap/>
          </w:tcPr>
          <w:p>
            <w:pPr>
              <w:pStyle w:val="70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W w:w="1792" w:type="pct"/>
            <w:vAlign w:val="center"/>
            <w:textDirection w:val="lrTb"/>
            <w:noWrap/>
          </w:tcPr>
          <w:p>
            <w:pPr>
              <w:pStyle w:val="70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磋商文件技术参数要求</w:t>
            </w:r>
            <w:r/>
          </w:p>
        </w:tc>
        <w:tc>
          <w:tcPr>
            <w:tcW w:w="179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响应文件技术参数响应</w:t>
            </w:r>
            <w:r/>
          </w:p>
        </w:tc>
        <w:tc>
          <w:tcPr>
            <w:tcW w:w="70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04"/>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0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69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日期：______年月日</w:t>
      </w:r>
      <w:r/>
    </w:p>
    <w:p>
      <w:pPr>
        <w:pStyle w:val="905"/>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05"/>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05"/>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05"/>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05"/>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十、售后服务承诺</w:t>
      </w:r>
      <w:r/>
    </w:p>
    <w:p>
      <w:pPr>
        <w:pStyle w:val="69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日期：_____年月日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bCs/>
          <w:color w:val="auto"/>
          <w:sz w:val="32"/>
          <w:szCs w:val="32"/>
          <w:highlight w:val="none"/>
        </w:rPr>
        <w:t xml:space="preserve">十一、项目需求响应方案</w:t>
      </w:r>
      <w:r/>
    </w:p>
    <w:p>
      <w:pPr>
        <w:jc w:val="center"/>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（供应商按“项目需求”等内容要求自行填写）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标段名称：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7"/>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249" w:name="_Toc7264"/>
      <w:r/>
      <w:bookmarkStart w:id="250" w:name="_Toc11507"/>
      <w:r/>
      <w:bookmarkStart w:id="251" w:name="_Toc24229"/>
      <w:r>
        <w:rPr>
          <w:rFonts w:hint="eastAsia" w:ascii="宋体" w:hAnsi="宋体" w:eastAsia="宋体" w:cs="宋体"/>
          <w:b/>
          <w:bCs/>
          <w:color w:val="auto"/>
          <w:sz w:val="32"/>
          <w:szCs w:val="32"/>
          <w:highlight w:val="none"/>
        </w:rPr>
        <w:t xml:space="preserve">十二、其他材料</w:t>
      </w:r>
      <w:bookmarkEnd w:id="249"/>
      <w:r/>
      <w:bookmarkEnd w:id="250"/>
      <w:r/>
      <w:bookmarkEnd w:id="251"/>
      <w:r/>
      <w:r/>
    </w:p>
    <w:p>
      <w:pPr>
        <w:ind w:firstLine="42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840"/>
        <w:jc w:val="center"/>
        <w:spacing w:line="360" w:lineRule="auto"/>
        <w:rPr>
          <w:rFonts w:hint="eastAsia" w:ascii="宋体" w:hAnsi="宋体" w:eastAsia="宋体" w:cs="宋体"/>
          <w:color w:val="auto"/>
          <w:sz w:val="24"/>
          <w:highlight w:val="none"/>
        </w:rPr>
        <w:outlineLvl w:val="0"/>
      </w:pPr>
      <w:r/>
      <w:bookmarkStart w:id="252" w:name="_Toc4695"/>
      <w:r/>
      <w:bookmarkStart w:id="253" w:name="_Toc11717"/>
      <w:r/>
      <w:bookmarkStart w:id="254" w:name="_Toc11517_WPSOffice_Level1"/>
      <w:r/>
      <w:bookmarkStart w:id="255" w:name="_Toc15866"/>
      <w:r>
        <w:rPr>
          <w:rFonts w:hint="eastAsia" w:ascii="宋体" w:hAnsi="宋体" w:eastAsia="宋体" w:cs="宋体"/>
          <w:color w:val="auto"/>
          <w:sz w:val="24"/>
          <w:highlight w:val="none"/>
        </w:rPr>
        <w:t xml:space="preserve">供应商认为有必要提供的材料或评分标准中需要提供的材料。</w:t>
      </w:r>
      <w:bookmarkEnd w:id="252"/>
      <w:r/>
      <w:bookmarkEnd w:id="253"/>
      <w:r/>
      <w:bookmarkEnd w:id="254"/>
      <w:r/>
      <w:bookmarkEnd w:id="255"/>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b/>
          <w:bCs/>
          <w:color w:val="auto"/>
          <w:spacing w:val="8"/>
          <w:sz w:val="24"/>
          <w:highlight w:val="none"/>
        </w:rPr>
        <w:t xml:space="preserve">注：本采购项目的资格评审及评标相关的证明文</w:t>
      </w:r>
      <w:r>
        <w:rPr>
          <w:rFonts w:hint="eastAsia" w:ascii="宋体" w:hAnsi="宋体" w:eastAsia="宋体" w:cs="宋体"/>
          <w:b/>
          <w:bCs/>
          <w:color w:val="auto"/>
          <w:spacing w:val="7"/>
          <w:sz w:val="24"/>
          <w:highlight w:val="none"/>
        </w:rPr>
        <w:t xml:space="preserve">件均需提供原件彩色扫描件上传至电子响应</w:t>
      </w:r>
      <w:r>
        <w:rPr>
          <w:rFonts w:hint="eastAsia" w:ascii="宋体" w:hAnsi="宋体" w:eastAsia="宋体" w:cs="宋体"/>
          <w:b/>
          <w:bCs/>
          <w:color w:val="auto"/>
          <w:spacing w:val="8"/>
          <w:sz w:val="24"/>
          <w:highlight w:val="none"/>
        </w:rPr>
        <w:t xml:space="preserve">文件中，扫描件需齐全并能清晰辨认并在有效期内，</w:t>
      </w:r>
      <w:r>
        <w:rPr>
          <w:rFonts w:hint="eastAsia" w:ascii="宋体" w:hAnsi="宋体" w:eastAsia="宋体" w:cs="宋体"/>
          <w:b/>
          <w:bCs/>
          <w:color w:val="auto"/>
          <w:spacing w:val="7"/>
          <w:sz w:val="24"/>
          <w:highlight w:val="none"/>
        </w:rPr>
        <w:t xml:space="preserve">提供的与评分相关的证明材料必须能清</w:t>
      </w:r>
      <w:r>
        <w:rPr>
          <w:rFonts w:hint="eastAsia" w:ascii="宋体" w:hAnsi="宋体" w:eastAsia="宋体" w:cs="宋体"/>
          <w:b/>
          <w:bCs/>
          <w:color w:val="auto"/>
          <w:spacing w:val="9"/>
          <w:sz w:val="24"/>
          <w:highlight w:val="none"/>
        </w:rPr>
        <w:t xml:space="preserve">晰的表明需要明示的内容，否则由此引起后果自行承担。</w:t>
      </w:r>
      <w:bookmarkEnd w:id="182"/>
      <w:bookmarkEnd w:id="183"/>
      <w:bookmarkEnd w:id="184"/>
      <w:bookmarkEnd w:id="204"/>
      <w:bookmarkEnd w:id="205"/>
      <w:bookmarkEnd w:id="206"/>
      <w:bookmarkEnd w:id="207"/>
      <w:bookmarkEnd w:id="208"/>
      <w:bookmarkEnd w:id="209"/>
      <w:bookmarkEnd w:id="210"/>
      <w:bookmarkEnd w:id="211"/>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9"/>
      <w:footerReference w:type="first" r:id="rId10"/>
      <w:footnotePr/>
      <w:endnotePr/>
      <w:type w:val="nextPage"/>
      <w:pgSz w:w="11906" w:h="16838" w:orient="portrait"/>
      <w:pgMar w:top="1440" w:right="1080" w:bottom="1440" w:left="1080"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10"/>
                          </w:pPr>
                          <w:r>
                            <w:fldChar w:fldCharType="begin"/>
                          </w:r>
                          <w:r>
                            <w:instrText xml:space="preserve"> PAGE  \* MERGEFORMAT </w:instrText>
                          </w:r>
                          <w:r>
                            <w:fldChar w:fldCharType="separate"/>
                          </w:r>
                          <w:r>
                            <w:t xml:space="preserve">43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1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35"/>
      <w:isLgl w:val="false"/>
      <w:suff w:val="tab"/>
      <w:lvlText w:val="第%1章"/>
      <w:lvlJc w:val="left"/>
      <w:pPr>
        <w:ind w:left="9351" w:hanging="420"/>
      </w:pPr>
      <w:rPr>
        <w:rFonts w:hint="eastAsia" w:ascii="黑体" w:eastAsia="黑体"/>
        <w:b w:val="0"/>
        <w:sz w:val="36"/>
        <w:lang w:val="en-US"/>
      </w:rPr>
    </w:lvl>
    <w:lvl w:ilvl="1">
      <w:start w:val="1"/>
      <w:numFmt w:val="decimal"/>
      <w:pStyle w:val="934"/>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3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1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906"/>
    <w:uiPriority w:val="0"/>
    <w:qFormat/>
    <w:pPr>
      <w:jc w:val="center"/>
      <w:keepNext/>
      <w:outlineLvl w:val="0"/>
    </w:pPr>
    <w:rPr>
      <w:rFonts w:ascii="楷体_GB2312" w:hAnsi="楷体_GB2312"/>
      <w:b/>
      <w:sz w:val="44"/>
      <w:szCs w:val="20"/>
    </w:rPr>
  </w:style>
  <w:style w:type="paragraph" w:styleId="680">
    <w:name w:val="Heading 2"/>
    <w:basedOn w:val="678"/>
    <w:next w:val="678"/>
    <w:uiPriority w:val="0"/>
    <w:qFormat/>
    <w:pPr>
      <w:jc w:val="center"/>
      <w:keepLines/>
      <w:keepNext/>
      <w:spacing w:before="260" w:after="260" w:line="416" w:lineRule="auto"/>
      <w:outlineLvl w:val="1"/>
    </w:pPr>
    <w:rPr>
      <w:rFonts w:ascii="Arial" w:hAnsi="Arial"/>
      <w:b/>
      <w:sz w:val="44"/>
      <w:szCs w:val="20"/>
    </w:rPr>
  </w:style>
  <w:style w:type="paragraph" w:styleId="681">
    <w:name w:val="Heading 3"/>
    <w:basedOn w:val="678"/>
    <w:next w:val="678"/>
    <w:uiPriority w:val="0"/>
    <w:qFormat/>
    <w:pPr>
      <w:keepLines/>
      <w:keepNext/>
      <w:spacing w:before="260" w:after="260" w:line="416" w:lineRule="auto"/>
      <w:outlineLvl w:val="2"/>
    </w:pPr>
    <w:rPr>
      <w:b/>
      <w:sz w:val="32"/>
      <w:szCs w:val="20"/>
    </w:rPr>
  </w:style>
  <w:style w:type="paragraph" w:styleId="682">
    <w:name w:val="Heading 4"/>
    <w:basedOn w:val="678"/>
    <w:next w:val="678"/>
    <w:uiPriority w:val="0"/>
    <w:qFormat/>
    <w:pPr>
      <w:keepLines/>
      <w:keepNext/>
      <w:spacing w:before="280" w:after="290" w:line="376" w:lineRule="auto"/>
      <w:outlineLvl w:val="3"/>
    </w:pPr>
    <w:rPr>
      <w:rFonts w:ascii="Arial" w:hAnsi="Arial" w:eastAsia="黑体"/>
      <w:bCs/>
      <w:sz w:val="28"/>
      <w:szCs w:val="28"/>
    </w:rPr>
  </w:style>
  <w:style w:type="paragraph" w:styleId="683">
    <w:name w:val="Heading 5"/>
    <w:basedOn w:val="678"/>
    <w:next w:val="678"/>
    <w:uiPriority w:val="0"/>
    <w:qFormat/>
    <w:pPr>
      <w:keepNext/>
      <w:outlineLvl w:val="4"/>
    </w:pPr>
    <w:rPr>
      <w:rFonts w:ascii="宋体" w:hAnsi="宋体"/>
      <w:b/>
      <w:bCs/>
    </w:rPr>
  </w:style>
  <w:style w:type="paragraph" w:styleId="684">
    <w:name w:val="Heading 6"/>
    <w:basedOn w:val="678"/>
    <w:next w:val="678"/>
    <w:link w:val="761"/>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63"/>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64"/>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0"/>
    <w:semiHidden/>
    <w:qFormat/>
    <w:pPr>
      <w:ind w:left="2520"/>
    </w:pPr>
  </w:style>
  <w:style w:type="paragraph" w:styleId="691">
    <w:name w:val="Normal Indent"/>
    <w:basedOn w:val="678"/>
    <w:link w:val="907"/>
    <w:uiPriority w:val="0"/>
    <w:qFormat/>
    <w:pPr>
      <w:ind w:firstLine="420"/>
    </w:pPr>
    <w:rPr>
      <w:szCs w:val="20"/>
    </w:rPr>
  </w:style>
  <w:style w:type="paragraph" w:styleId="692">
    <w:name w:val="Caption"/>
    <w:basedOn w:val="678"/>
    <w:next w:val="67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3">
    <w:name w:val="index 5"/>
    <w:basedOn w:val="678"/>
    <w:next w:val="678"/>
    <w:uiPriority w:val="0"/>
    <w:qFormat/>
    <w:pPr>
      <w:ind w:left="800"/>
      <w:spacing w:line="240" w:lineRule="atLeast"/>
      <w:widowControl/>
    </w:pPr>
    <w:rPr>
      <w:rFonts w:ascii="Arial" w:hAnsi="Arial"/>
      <w:szCs w:val="21"/>
    </w:rPr>
  </w:style>
  <w:style w:type="paragraph" w:styleId="694">
    <w:name w:val="Document Map"/>
    <w:basedOn w:val="678"/>
    <w:uiPriority w:val="0"/>
    <w:semiHidden/>
    <w:qFormat/>
    <w:pPr>
      <w:shd w:val="clear" w:color="auto" w:fill="000080"/>
    </w:pPr>
  </w:style>
  <w:style w:type="paragraph" w:styleId="695">
    <w:name w:val="annotation text"/>
    <w:basedOn w:val="678"/>
    <w:link w:val="908"/>
    <w:uiPriority w:val="99"/>
    <w:qFormat/>
    <w:pPr>
      <w:jc w:val="left"/>
    </w:pPr>
  </w:style>
  <w:style w:type="paragraph" w:styleId="696">
    <w:name w:val="Body Text 3"/>
    <w:basedOn w:val="678"/>
    <w:uiPriority w:val="0"/>
    <w:qFormat/>
    <w:rPr>
      <w:rFonts w:ascii="仿宋_GB2312" w:hAnsi="Arial" w:eastAsia="仿宋_GB2312"/>
      <w:sz w:val="32"/>
      <w:szCs w:val="20"/>
    </w:rPr>
  </w:style>
  <w:style w:type="paragraph" w:styleId="697">
    <w:name w:val="Body Text"/>
    <w:basedOn w:val="678"/>
    <w:next w:val="698"/>
    <w:uiPriority w:val="0"/>
    <w:qFormat/>
    <w:rPr>
      <w:rFonts w:ascii="楷体_GB2312" w:hAnsi="Arial" w:eastAsia="楷体_GB2312"/>
      <w:sz w:val="28"/>
      <w:szCs w:val="20"/>
    </w:rPr>
  </w:style>
  <w:style w:type="paragraph" w:styleId="698">
    <w:name w:val="Body Text First Indent"/>
    <w:basedOn w:val="697"/>
    <w:next w:val="678"/>
    <w:uiPriority w:val="99"/>
    <w:unhideWhenUsed/>
    <w:qFormat/>
    <w:pPr>
      <w:ind w:firstLine="420"/>
    </w:pPr>
  </w:style>
  <w:style w:type="paragraph" w:styleId="699">
    <w:name w:val="Body Text Indent"/>
    <w:basedOn w:val="678"/>
    <w:next w:val="700"/>
    <w:uiPriority w:val="0"/>
    <w:qFormat/>
    <w:pPr>
      <w:ind w:firstLine="645"/>
    </w:pPr>
    <w:rPr>
      <w:rFonts w:ascii="楷体_GB2312" w:eastAsia="楷体_GB2312"/>
      <w:sz w:val="32"/>
      <w:szCs w:val="20"/>
    </w:rPr>
  </w:style>
  <w:style w:type="paragraph" w:styleId="700">
    <w:name w:val="envelope return"/>
    <w:basedOn w:val="678"/>
    <w:uiPriority w:val="0"/>
    <w:qFormat/>
    <w:rPr>
      <w:rFonts w:ascii="Arial" w:hAnsi="Arial"/>
    </w:rPr>
  </w:style>
  <w:style w:type="paragraph" w:styleId="701">
    <w:name w:val="Block Text"/>
    <w:basedOn w:val="67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02">
    <w:name w:val="toc 5"/>
    <w:basedOn w:val="678"/>
    <w:next w:val="678"/>
    <w:uiPriority w:val="0"/>
    <w:semiHidden/>
    <w:qFormat/>
    <w:pPr>
      <w:ind w:left="1680"/>
    </w:pPr>
  </w:style>
  <w:style w:type="paragraph" w:styleId="703">
    <w:name w:val="toc 3"/>
    <w:basedOn w:val="678"/>
    <w:next w:val="67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04">
    <w:name w:val="Plain Text"/>
    <w:basedOn w:val="678"/>
    <w:next w:val="691"/>
    <w:link w:val="909"/>
    <w:uiPriority w:val="0"/>
    <w:qFormat/>
    <w:rPr>
      <w:rFonts w:ascii="宋体" w:hAnsi="Courier New"/>
      <w:szCs w:val="20"/>
    </w:rPr>
  </w:style>
  <w:style w:type="paragraph" w:styleId="705">
    <w:name w:val="toc 8"/>
    <w:basedOn w:val="678"/>
    <w:next w:val="678"/>
    <w:uiPriority w:val="0"/>
    <w:semiHidden/>
    <w:qFormat/>
    <w:pPr>
      <w:ind w:left="2940"/>
    </w:pPr>
  </w:style>
  <w:style w:type="paragraph" w:styleId="706">
    <w:name w:val="Date"/>
    <w:basedOn w:val="678"/>
    <w:next w:val="678"/>
    <w:uiPriority w:val="0"/>
    <w:qFormat/>
    <w:rPr>
      <w:sz w:val="24"/>
      <w:szCs w:val="20"/>
    </w:rPr>
  </w:style>
  <w:style w:type="paragraph" w:styleId="707">
    <w:name w:val="Body Text Indent 2"/>
    <w:basedOn w:val="678"/>
    <w:uiPriority w:val="0"/>
    <w:qFormat/>
    <w:pPr>
      <w:ind w:firstLine="560"/>
    </w:pPr>
    <w:rPr>
      <w:rFonts w:ascii="宋体" w:hAnsi="宋体"/>
      <w:sz w:val="28"/>
    </w:rPr>
  </w:style>
  <w:style w:type="paragraph" w:styleId="708">
    <w:name w:val="endnote text"/>
    <w:basedOn w:val="678"/>
    <w:link w:val="901"/>
    <w:uiPriority w:val="99"/>
    <w:semiHidden/>
    <w:unhideWhenUsed/>
    <w:qFormat/>
    <w:rPr>
      <w:sz w:val="20"/>
    </w:rPr>
  </w:style>
  <w:style w:type="paragraph" w:styleId="709">
    <w:name w:val="Balloon Text"/>
    <w:basedOn w:val="678"/>
    <w:uiPriority w:val="0"/>
    <w:semiHidden/>
    <w:qFormat/>
    <w:rPr>
      <w:sz w:val="18"/>
      <w:szCs w:val="18"/>
    </w:rPr>
  </w:style>
  <w:style w:type="paragraph" w:styleId="710">
    <w:name w:val="Footer"/>
    <w:basedOn w:val="678"/>
    <w:uiPriority w:val="0"/>
    <w:qFormat/>
    <w:pPr>
      <w:jc w:val="left"/>
      <w:tabs>
        <w:tab w:val="center" w:pos="4153" w:leader="none"/>
        <w:tab w:val="right" w:pos="8306" w:leader="none"/>
      </w:tabs>
    </w:pPr>
    <w:rPr>
      <w:sz w:val="18"/>
      <w:szCs w:val="20"/>
    </w:rPr>
  </w:style>
  <w:style w:type="paragraph" w:styleId="711">
    <w:name w:val="Header"/>
    <w:basedOn w:val="678"/>
    <w:next w:val="712"/>
    <w:uiPriority w:val="0"/>
    <w:qFormat/>
    <w:pPr>
      <w:jc w:val="center"/>
      <w:tabs>
        <w:tab w:val="center" w:pos="4153" w:leader="none"/>
        <w:tab w:val="right" w:pos="8306" w:leader="none"/>
      </w:tabs>
      <w:pBdr>
        <w:bottom w:val="single" w:color="auto" w:sz="6" w:space="1"/>
      </w:pBdr>
    </w:pPr>
    <w:rPr>
      <w:sz w:val="18"/>
      <w:szCs w:val="18"/>
    </w:rPr>
  </w:style>
  <w:style w:type="paragraph" w:styleId="712" w:customStyle="1">
    <w:name w:val="Quote1"/>
    <w:basedOn w:val="678"/>
    <w:next w:val="678"/>
    <w:uiPriority w:val="99"/>
    <w:qFormat/>
    <w:pPr>
      <w:ind w:left="864" w:right="864"/>
      <w:jc w:val="center"/>
      <w:spacing w:before="200" w:after="160"/>
      <w:widowControl/>
    </w:pPr>
    <w:rPr>
      <w:rFonts w:ascii="宋体"/>
      <w:i/>
      <w:color w:val="404040"/>
    </w:rPr>
  </w:style>
  <w:style w:type="paragraph" w:styleId="713">
    <w:name w:val="toc 1"/>
    <w:basedOn w:val="678"/>
    <w:next w:val="678"/>
    <w:uiPriority w:val="39"/>
    <w:qFormat/>
    <w:pPr>
      <w:jc w:val="left"/>
      <w:spacing w:before="120" w:after="120" w:line="300" w:lineRule="exact"/>
      <w:tabs>
        <w:tab w:val="right" w:pos="9440" w:leader="dot"/>
      </w:tabs>
    </w:pPr>
    <w:rPr>
      <w:rFonts w:ascii="黑体" w:eastAsia="黑体"/>
      <w:b/>
      <w:caps/>
      <w:sz w:val="18"/>
      <w:szCs w:val="28"/>
    </w:rPr>
  </w:style>
  <w:style w:type="paragraph" w:styleId="714">
    <w:name w:val="toc 4"/>
    <w:basedOn w:val="678"/>
    <w:next w:val="678"/>
    <w:uiPriority w:val="0"/>
    <w:semiHidden/>
    <w:qFormat/>
    <w:pPr>
      <w:ind w:left="1260"/>
    </w:pPr>
  </w:style>
  <w:style w:type="paragraph" w:styleId="715">
    <w:name w:val="Subtitle"/>
    <w:basedOn w:val="678"/>
    <w:next w:val="678"/>
    <w:link w:val="910"/>
    <w:uiPriority w:val="0"/>
    <w:qFormat/>
    <w:pPr>
      <w:jc w:val="center"/>
      <w:spacing w:before="240" w:after="60" w:line="312" w:lineRule="auto"/>
      <w:outlineLvl w:val="1"/>
    </w:pPr>
    <w:rPr>
      <w:rFonts w:ascii="Cambria" w:hAnsi="Cambria"/>
      <w:b/>
      <w:bCs/>
      <w:sz w:val="32"/>
      <w:szCs w:val="32"/>
    </w:rPr>
  </w:style>
  <w:style w:type="paragraph" w:styleId="716">
    <w:name w:val="footnote text"/>
    <w:basedOn w:val="678"/>
    <w:next w:val="693"/>
    <w:uiPriority w:val="0"/>
    <w:qFormat/>
    <w:pPr>
      <w:ind w:firstLine="425"/>
      <w:jc w:val="left"/>
      <w:spacing w:before="120" w:line="360" w:lineRule="auto"/>
    </w:pPr>
    <w:rPr>
      <w:sz w:val="18"/>
      <w:szCs w:val="20"/>
    </w:rPr>
  </w:style>
  <w:style w:type="paragraph" w:styleId="717">
    <w:name w:val="toc 6"/>
    <w:basedOn w:val="678"/>
    <w:next w:val="678"/>
    <w:uiPriority w:val="0"/>
    <w:semiHidden/>
    <w:qFormat/>
    <w:pPr>
      <w:ind w:left="2100"/>
    </w:pPr>
  </w:style>
  <w:style w:type="paragraph" w:styleId="718">
    <w:name w:val="Body Text Indent 3"/>
    <w:basedOn w:val="678"/>
    <w:uiPriority w:val="0"/>
    <w:qFormat/>
    <w:pPr>
      <w:ind w:firstLine="523"/>
    </w:pPr>
    <w:rPr>
      <w:rFonts w:ascii="仿宋_GB2312" w:hAnsi="宋体" w:eastAsia="仿宋_GB2312"/>
      <w:sz w:val="24"/>
    </w:rPr>
  </w:style>
  <w:style w:type="paragraph" w:styleId="719">
    <w:name w:val="table of figures"/>
    <w:basedOn w:val="678"/>
    <w:next w:val="678"/>
    <w:uiPriority w:val="99"/>
    <w:unhideWhenUsed/>
    <w:qFormat/>
  </w:style>
  <w:style w:type="paragraph" w:styleId="720">
    <w:name w:val="toc 2"/>
    <w:basedOn w:val="678"/>
    <w:next w:val="678"/>
    <w:uiPriority w:val="39"/>
    <w:qFormat/>
    <w:pPr>
      <w:jc w:val="left"/>
      <w:spacing w:line="260" w:lineRule="exact"/>
      <w:tabs>
        <w:tab w:val="right" w:pos="9440" w:leader="dot"/>
      </w:tabs>
    </w:pPr>
    <w:rPr>
      <w:rFonts w:ascii="黑体" w:eastAsia="黑体"/>
      <w:b/>
      <w:bCs/>
      <w:smallCaps/>
      <w:sz w:val="18"/>
      <w:szCs w:val="44"/>
    </w:rPr>
  </w:style>
  <w:style w:type="paragraph" w:styleId="721">
    <w:name w:val="toc 9"/>
    <w:basedOn w:val="678"/>
    <w:next w:val="678"/>
    <w:uiPriority w:val="0"/>
    <w:semiHidden/>
    <w:qFormat/>
    <w:pPr>
      <w:ind w:left="3360"/>
    </w:pPr>
  </w:style>
  <w:style w:type="paragraph" w:styleId="722">
    <w:name w:val="Body Text 2"/>
    <w:basedOn w:val="678"/>
    <w:uiPriority w:val="0"/>
    <w:qFormat/>
    <w:pPr>
      <w:jc w:val="center"/>
    </w:pPr>
    <w:rPr>
      <w:rFonts w:ascii="仿宋_GB2312" w:eastAsia="仿宋_GB2312"/>
      <w:sz w:val="44"/>
    </w:rPr>
  </w:style>
  <w:style w:type="paragraph" w:styleId="723">
    <w:name w:val="Message Header"/>
    <w:basedOn w:val="67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24">
    <w:name w:val="HTML Preformatted"/>
    <w:basedOn w:val="678"/>
    <w:link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25">
    <w:name w:val="Normal (Web)"/>
    <w:basedOn w:val="678"/>
    <w:uiPriority w:val="0"/>
    <w:unhideWhenUsed/>
    <w:qFormat/>
    <w:pPr>
      <w:jc w:val="left"/>
      <w:spacing w:before="100" w:beforeAutospacing="1" w:after="100" w:afterAutospacing="1"/>
      <w:widowControl/>
    </w:pPr>
    <w:rPr>
      <w:rFonts w:ascii="宋体" w:hAnsi="宋体" w:cs="宋体"/>
      <w:sz w:val="24"/>
    </w:rPr>
  </w:style>
  <w:style w:type="paragraph" w:styleId="726">
    <w:name w:val="index 1"/>
    <w:basedOn w:val="678"/>
    <w:next w:val="678"/>
    <w:uiPriority w:val="0"/>
    <w:semiHidden/>
    <w:qFormat/>
    <w:rPr>
      <w:rFonts w:ascii="宋体" w:hAnsi="宋体"/>
      <w:szCs w:val="18"/>
    </w:rPr>
  </w:style>
  <w:style w:type="paragraph" w:styleId="727">
    <w:name w:val="Title"/>
    <w:basedOn w:val="678"/>
    <w:next w:val="678"/>
    <w:link w:val="766"/>
    <w:uiPriority w:val="10"/>
    <w:qFormat/>
    <w:pPr>
      <w:contextualSpacing/>
      <w:spacing w:before="300" w:after="200"/>
    </w:pPr>
    <w:rPr>
      <w:sz w:val="48"/>
      <w:szCs w:val="48"/>
    </w:rPr>
  </w:style>
  <w:style w:type="paragraph" w:styleId="728">
    <w:name w:val="annotation subject"/>
    <w:basedOn w:val="695"/>
    <w:next w:val="695"/>
    <w:link w:val="912"/>
    <w:uiPriority w:val="0"/>
    <w:qFormat/>
    <w:rPr>
      <w:b/>
      <w:bCs/>
    </w:rPr>
  </w:style>
  <w:style w:type="paragraph" w:styleId="729">
    <w:name w:val="Body Text First Indent 2"/>
    <w:basedOn w:val="699"/>
    <w:uiPriority w:val="0"/>
    <w:qFormat/>
    <w:pPr>
      <w:ind w:left="420" w:firstLine="420"/>
      <w:spacing w:after="120"/>
    </w:pPr>
    <w:rPr>
      <w:rFonts w:cs="宋体"/>
      <w:sz w:val="21"/>
      <w:szCs w:val="21"/>
    </w:rPr>
  </w:style>
  <w:style w:type="table" w:styleId="730">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688"/>
    <w:uiPriority w:val="0"/>
    <w:qFormat/>
    <w:rPr>
      <w:b/>
      <w:bCs/>
    </w:rPr>
  </w:style>
  <w:style w:type="character" w:styleId="732">
    <w:name w:val="endnote reference"/>
    <w:basedOn w:val="688"/>
    <w:uiPriority w:val="99"/>
    <w:semiHidden/>
    <w:unhideWhenUsed/>
    <w:qFormat/>
    <w:rPr>
      <w:vertAlign w:val="superscript"/>
    </w:rPr>
  </w:style>
  <w:style w:type="character" w:styleId="733">
    <w:name w:val="page number"/>
    <w:uiPriority w:val="0"/>
    <w:qFormat/>
  </w:style>
  <w:style w:type="character" w:styleId="734">
    <w:name w:val="FollowedHyperlink"/>
    <w:uiPriority w:val="0"/>
    <w:qFormat/>
    <w:rPr>
      <w:color w:val="800080"/>
      <w:u w:val="none"/>
    </w:rPr>
  </w:style>
  <w:style w:type="character" w:styleId="735">
    <w:name w:val="HTML Definition"/>
    <w:uiPriority w:val="0"/>
    <w:qFormat/>
  </w:style>
  <w:style w:type="character" w:styleId="736">
    <w:name w:val="HTML Typewriter"/>
    <w:uiPriority w:val="0"/>
    <w:qFormat/>
    <w:rPr>
      <w:rFonts w:hint="default" w:ascii="monospace" w:hAnsi="monospace" w:eastAsia="monospace" w:cs="monospace"/>
      <w:sz w:val="20"/>
    </w:rPr>
  </w:style>
  <w:style w:type="character" w:styleId="737">
    <w:name w:val="HTML Acronym"/>
    <w:basedOn w:val="688"/>
    <w:uiPriority w:val="0"/>
    <w:qFormat/>
  </w:style>
  <w:style w:type="character" w:styleId="738">
    <w:name w:val="HTML Variable"/>
    <w:uiPriority w:val="0"/>
    <w:qFormat/>
  </w:style>
  <w:style w:type="character" w:styleId="739">
    <w:name w:val="Hyperlink"/>
    <w:uiPriority w:val="99"/>
    <w:qFormat/>
    <w:rPr>
      <w:color w:val="0000ff"/>
      <w:u w:val="none"/>
    </w:rPr>
  </w:style>
  <w:style w:type="character" w:styleId="740">
    <w:name w:val="HTML Code"/>
    <w:uiPriority w:val="0"/>
    <w:qFormat/>
    <w:rPr>
      <w:rFonts w:ascii="monospace" w:hAnsi="monospace" w:eastAsia="monospace" w:cs="monospace"/>
      <w:sz w:val="20"/>
    </w:rPr>
  </w:style>
  <w:style w:type="character" w:styleId="741">
    <w:name w:val="annotation reference"/>
    <w:uiPriority w:val="0"/>
    <w:qFormat/>
    <w:rPr>
      <w:sz w:val="21"/>
      <w:szCs w:val="21"/>
    </w:rPr>
  </w:style>
  <w:style w:type="character" w:styleId="742">
    <w:name w:val="HTML Cite"/>
    <w:uiPriority w:val="0"/>
    <w:qFormat/>
  </w:style>
  <w:style w:type="character" w:styleId="743">
    <w:name w:val="footnote reference"/>
    <w:basedOn w:val="688"/>
    <w:uiPriority w:val="99"/>
    <w:unhideWhenUsed/>
    <w:qFormat/>
    <w:rPr>
      <w:vertAlign w:val="superscript"/>
    </w:rPr>
  </w:style>
  <w:style w:type="character" w:styleId="744">
    <w:name w:val="HTML Keyboard"/>
    <w:uiPriority w:val="0"/>
    <w:qFormat/>
    <w:rPr>
      <w:rFonts w:hint="default" w:ascii="monospace" w:hAnsi="monospace" w:eastAsia="monospace" w:cs="monospace"/>
      <w:sz w:val="20"/>
    </w:rPr>
  </w:style>
  <w:style w:type="character" w:styleId="745">
    <w:name w:val="HTML Sample"/>
    <w:uiPriority w:val="0"/>
    <w:qFormat/>
    <w:rPr>
      <w:rFonts w:hint="default" w:ascii="monospace" w:hAnsi="monospace" w:eastAsia="monospace" w:cs="monospace"/>
    </w:rPr>
  </w:style>
  <w:style w:type="paragraph" w:styleId="746" w:customStyle="1">
    <w:name w:val="TOC Heading"/>
    <w:uiPriority w:val="39"/>
    <w:unhideWhenUsed/>
    <w:rPr>
      <w:rFonts w:hint="default" w:ascii="Times New Roman" w:hAnsi="Times New Roman" w:eastAsia="宋体" w:cs="Times New Roman"/>
    </w:rPr>
  </w:style>
  <w:style w:type="character" w:styleId="747" w:customStyle="1">
    <w:name w:val="Heading 6 Char"/>
    <w:basedOn w:val="688"/>
    <w:uiPriority w:val="9"/>
    <w:qFormat/>
    <w:rPr>
      <w:rFonts w:ascii="Arial" w:hAnsi="Arial" w:eastAsia="Arial" w:cs="Arial"/>
      <w:b/>
      <w:bCs/>
      <w:sz w:val="22"/>
      <w:szCs w:val="22"/>
    </w:rPr>
  </w:style>
  <w:style w:type="character" w:styleId="748" w:customStyle="1">
    <w:name w:val="Heading 7 Char"/>
    <w:basedOn w:val="688"/>
    <w:uiPriority w:val="9"/>
    <w:qFormat/>
    <w:rPr>
      <w:rFonts w:ascii="Arial" w:hAnsi="Arial" w:eastAsia="Arial" w:cs="Arial"/>
      <w:b/>
      <w:bCs/>
      <w:i/>
      <w:iCs/>
      <w:sz w:val="22"/>
      <w:szCs w:val="22"/>
    </w:rPr>
  </w:style>
  <w:style w:type="character" w:styleId="749" w:customStyle="1">
    <w:name w:val="Heading 8 Char"/>
    <w:basedOn w:val="688"/>
    <w:uiPriority w:val="9"/>
    <w:qFormat/>
    <w:rPr>
      <w:rFonts w:ascii="Arial" w:hAnsi="Arial" w:eastAsia="Arial" w:cs="Arial"/>
      <w:i/>
      <w:iCs/>
      <w:sz w:val="22"/>
      <w:szCs w:val="22"/>
    </w:rPr>
  </w:style>
  <w:style w:type="character" w:styleId="750" w:customStyle="1">
    <w:name w:val="Heading 9 Char"/>
    <w:basedOn w:val="688"/>
    <w:uiPriority w:val="9"/>
    <w:qFormat/>
    <w:rPr>
      <w:rFonts w:ascii="Arial" w:hAnsi="Arial" w:eastAsia="Arial" w:cs="Arial"/>
      <w:i/>
      <w:iCs/>
      <w:sz w:val="21"/>
      <w:szCs w:val="21"/>
    </w:rPr>
  </w:style>
  <w:style w:type="character" w:styleId="751" w:customStyle="1">
    <w:name w:val="Title Char"/>
    <w:basedOn w:val="688"/>
    <w:uiPriority w:val="10"/>
    <w:qFormat/>
    <w:rPr>
      <w:sz w:val="48"/>
      <w:szCs w:val="48"/>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Endnote Text Char"/>
    <w:uiPriority w:val="99"/>
    <w:qFormat/>
    <w:rPr>
      <w:sz w:val="20"/>
    </w:rPr>
  </w:style>
  <w:style w:type="paragraph" w:styleId="755" w:customStyle="1">
    <w:name w:val="TOC 标题1"/>
    <w:uiPriority w:val="39"/>
    <w:unhideWhenUsed/>
    <w:qFormat/>
    <w:rPr>
      <w:rFonts w:hint="default" w:ascii="Times New Roman" w:hAnsi="Times New Roman" w:eastAsia="宋体" w:cs="Times New Roman"/>
      <w:lang w:val="en-US" w:eastAsia="zh-CN" w:bidi="ar-SA"/>
    </w:rPr>
  </w:style>
  <w:style w:type="character" w:styleId="756" w:customStyle="1">
    <w:name w:val="Heading 1 Char"/>
    <w:basedOn w:val="688"/>
    <w:uiPriority w:val="9"/>
    <w:qFormat/>
    <w:rPr>
      <w:rFonts w:ascii="Arial" w:hAnsi="Arial" w:eastAsia="Arial" w:cs="Arial"/>
      <w:sz w:val="40"/>
      <w:szCs w:val="40"/>
    </w:rPr>
  </w:style>
  <w:style w:type="character" w:styleId="757" w:customStyle="1">
    <w:name w:val="Heading 2 Char"/>
    <w:basedOn w:val="688"/>
    <w:uiPriority w:val="9"/>
    <w:qFormat/>
    <w:rPr>
      <w:rFonts w:ascii="Arial" w:hAnsi="Arial" w:eastAsia="Arial" w:cs="Arial"/>
      <w:sz w:val="34"/>
    </w:rPr>
  </w:style>
  <w:style w:type="character" w:styleId="758" w:customStyle="1">
    <w:name w:val="Heading 3 Char"/>
    <w:basedOn w:val="688"/>
    <w:uiPriority w:val="9"/>
    <w:qFormat/>
    <w:rPr>
      <w:rFonts w:ascii="Arial" w:hAnsi="Arial" w:eastAsia="Arial" w:cs="Arial"/>
      <w:sz w:val="30"/>
      <w:szCs w:val="30"/>
    </w:rPr>
  </w:style>
  <w:style w:type="character" w:styleId="759" w:customStyle="1">
    <w:name w:val="Heading 4 Char"/>
    <w:basedOn w:val="688"/>
    <w:uiPriority w:val="9"/>
    <w:qFormat/>
    <w:rPr>
      <w:rFonts w:ascii="Arial" w:hAnsi="Arial" w:eastAsia="Arial" w:cs="Arial"/>
      <w:b/>
      <w:bCs/>
      <w:sz w:val="26"/>
      <w:szCs w:val="26"/>
    </w:rPr>
  </w:style>
  <w:style w:type="character" w:styleId="760" w:customStyle="1">
    <w:name w:val="Heading 5 Char"/>
    <w:basedOn w:val="688"/>
    <w:uiPriority w:val="9"/>
    <w:qFormat/>
    <w:rPr>
      <w:rFonts w:ascii="Arial" w:hAnsi="Arial" w:eastAsia="Arial" w:cs="Arial"/>
      <w:b/>
      <w:bCs/>
      <w:sz w:val="24"/>
      <w:szCs w:val="24"/>
    </w:rPr>
  </w:style>
  <w:style w:type="character" w:styleId="761" w:customStyle="1">
    <w:name w:val="标题 6 Char"/>
    <w:basedOn w:val="688"/>
    <w:link w:val="684"/>
    <w:uiPriority w:val="9"/>
    <w:qFormat/>
    <w:rPr>
      <w:rFonts w:ascii="Arial" w:hAnsi="Arial" w:eastAsia="Arial" w:cs="Arial"/>
      <w:b/>
      <w:bCs/>
      <w:sz w:val="22"/>
      <w:szCs w:val="22"/>
    </w:rPr>
  </w:style>
  <w:style w:type="character" w:styleId="762" w:customStyle="1">
    <w:name w:val="标题 7 Char"/>
    <w:basedOn w:val="688"/>
    <w:link w:val="685"/>
    <w:uiPriority w:val="9"/>
    <w:qFormat/>
    <w:rPr>
      <w:rFonts w:ascii="Arial" w:hAnsi="Arial" w:eastAsia="Arial" w:cs="Arial"/>
      <w:b/>
      <w:bCs/>
      <w:i/>
      <w:iCs/>
      <w:sz w:val="22"/>
      <w:szCs w:val="22"/>
    </w:rPr>
  </w:style>
  <w:style w:type="character" w:styleId="763" w:customStyle="1">
    <w:name w:val="标题 8 Char"/>
    <w:basedOn w:val="688"/>
    <w:link w:val="686"/>
    <w:uiPriority w:val="9"/>
    <w:qFormat/>
    <w:rPr>
      <w:rFonts w:ascii="Arial" w:hAnsi="Arial" w:eastAsia="Arial" w:cs="Arial"/>
      <w:i/>
      <w:iCs/>
      <w:sz w:val="22"/>
      <w:szCs w:val="22"/>
    </w:rPr>
  </w:style>
  <w:style w:type="character" w:styleId="764" w:customStyle="1">
    <w:name w:val="标题 9 Char"/>
    <w:basedOn w:val="688"/>
    <w:link w:val="687"/>
    <w:uiPriority w:val="9"/>
    <w:qFormat/>
    <w:rPr>
      <w:rFonts w:ascii="Arial" w:hAnsi="Arial" w:eastAsia="Arial" w:cs="Arial"/>
      <w:i/>
      <w:iCs/>
      <w:sz w:val="21"/>
      <w:szCs w:val="21"/>
    </w:rPr>
  </w:style>
  <w:style w:type="paragraph" w:styleId="765">
    <w:name w:val="No Spacing"/>
    <w:uiPriority w:val="1"/>
    <w:qFormat/>
    <w:rPr>
      <w:rFonts w:hint="default" w:ascii="Times New Roman" w:hAnsi="Times New Roman" w:eastAsia="宋体" w:cs="Times New Roman"/>
      <w:lang w:val="en-US" w:eastAsia="zh-CN" w:bidi="ar-SA"/>
    </w:rPr>
  </w:style>
  <w:style w:type="character" w:styleId="766" w:customStyle="1">
    <w:name w:val="标题 Char"/>
    <w:basedOn w:val="688"/>
    <w:link w:val="727"/>
    <w:uiPriority w:val="10"/>
    <w:qFormat/>
    <w:rPr>
      <w:sz w:val="48"/>
      <w:szCs w:val="48"/>
    </w:rPr>
  </w:style>
  <w:style w:type="character" w:styleId="767" w:customStyle="1">
    <w:name w:val="Subtitle Char"/>
    <w:basedOn w:val="688"/>
    <w:uiPriority w:val="11"/>
    <w:qFormat/>
    <w:rPr>
      <w:sz w:val="24"/>
      <w:szCs w:val="24"/>
    </w:rPr>
  </w:style>
  <w:style w:type="paragraph" w:styleId="768">
    <w:name w:val="Quote"/>
    <w:basedOn w:val="678"/>
    <w:next w:val="678"/>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678"/>
    <w:next w:val="678"/>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Header Char"/>
    <w:basedOn w:val="688"/>
    <w:uiPriority w:val="99"/>
    <w:qFormat/>
  </w:style>
  <w:style w:type="character" w:styleId="773" w:customStyle="1">
    <w:name w:val="Footer Char"/>
    <w:basedOn w:val="688"/>
    <w:uiPriority w:val="99"/>
    <w:qFormat/>
  </w:style>
  <w:style w:type="character" w:styleId="774" w:customStyle="1">
    <w:name w:val="Caption Char"/>
    <w:uiPriority w:val="99"/>
    <w:qFormat/>
  </w:style>
  <w:style w:type="table" w:styleId="775" w:customStyle="1">
    <w:name w:val="Table Grid Light"/>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6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6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6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6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8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8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8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8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8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Grid Table 3"/>
    <w:basedOn w:val="6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8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8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8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6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8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4" w:customStyle="1">
    <w:name w:val="Grid Table 4 - Accent 2"/>
    <w:basedOn w:val="68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8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8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8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8" w:customStyle="1">
    <w:name w:val="Grid Table 4 - Accent 6"/>
    <w:basedOn w:val="68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1" w:customStyle="1">
    <w:name w:val="Grid Table 5 Dark - Accent 2"/>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5" w:customStyle="1">
    <w:name w:val="Grid Table 5 Dark - Accent 6"/>
    <w:basedOn w:val="6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Grid Table 6 Colorful"/>
    <w:basedOn w:val="6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68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8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0" w:customStyle="1">
    <w:name w:val="Grid Table 6 Colorful - Accent 4"/>
    <w:basedOn w:val="6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8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2" w:customStyle="1">
    <w:name w:val="Grid Table 6 Colorful - Accent 6"/>
    <w:basedOn w:val="68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3" w:customStyle="1">
    <w:name w:val="Grid Table 7 Colorful"/>
    <w:basedOn w:val="6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8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8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8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8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8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8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68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8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8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8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8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8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8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w:basedOn w:val="6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8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9" w:customStyle="1">
    <w:name w:val="List Table 2 - Accent 2"/>
    <w:basedOn w:val="68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68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68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68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3" w:customStyle="1">
    <w:name w:val="List Table 2 - Accent 6"/>
    <w:basedOn w:val="68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8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6" w:customStyle="1">
    <w:name w:val="List Table 3 - Accent 2"/>
    <w:basedOn w:val="6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8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8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8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List Table 4"/>
    <w:basedOn w:val="6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8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3" w:customStyle="1">
    <w:name w:val="List Table 4 - Accent 2"/>
    <w:basedOn w:val="68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68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68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68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7" w:customStyle="1">
    <w:name w:val="List Table 4 - Accent 6"/>
    <w:basedOn w:val="68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List Table 5 Dark"/>
    <w:basedOn w:val="6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68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8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8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8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8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8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68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68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7" w:customStyle="1">
    <w:name w:val="List Table 6 Colorful - Accent 2"/>
    <w:basedOn w:val="68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8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8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8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71" w:customStyle="1">
    <w:name w:val="List Table 6 Colorful - Accent 6"/>
    <w:basedOn w:val="68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w:basedOn w:val="68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8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8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8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8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8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8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1" w:customStyle="1">
    <w:name w:val="Lined - Accent 2"/>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5" w:customStyle="1">
    <w:name w:val="Lined - Accent 6"/>
    <w:basedOn w:val="6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8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8" w:customStyle="1">
    <w:name w:val="Bordered &amp; Lined - Accent 2"/>
    <w:basedOn w:val="68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68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8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68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2" w:customStyle="1">
    <w:name w:val="Bordered &amp; Lined - Accent 6"/>
    <w:basedOn w:val="68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8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5" w:customStyle="1">
    <w:name w:val="Bordered - Accent 2"/>
    <w:basedOn w:val="6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6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68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9" w:customStyle="1">
    <w:name w:val="Bordered - Accent 6"/>
    <w:basedOn w:val="6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uiPriority w:val="99"/>
    <w:qFormat/>
    <w:rPr>
      <w:sz w:val="18"/>
    </w:rPr>
  </w:style>
  <w:style w:type="character" w:styleId="901" w:customStyle="1">
    <w:name w:val="尾注文本 Char"/>
    <w:link w:val="708"/>
    <w:uiPriority w:val="99"/>
    <w:qFormat/>
    <w:rPr>
      <w:sz w:val="20"/>
    </w:rPr>
  </w:style>
  <w:style w:type="paragraph" w:styleId="902" w:customStyle="1">
    <w:name w:val="TOC 标题111"/>
    <w:uiPriority w:val="39"/>
    <w:unhideWhenUsed/>
    <w:qFormat/>
    <w:rPr>
      <w:rFonts w:hint="default" w:ascii="Times New Roman" w:hAnsi="Times New Roman" w:eastAsia="宋体" w:cs="Times New Roman"/>
      <w:lang w:val="en-US" w:eastAsia="zh-CN" w:bidi="ar-SA"/>
    </w:rPr>
  </w:style>
  <w:style w:type="paragraph" w:styleId="903" w:customStyle="1">
    <w:name w:val="正文首行缩进11"/>
    <w:basedOn w:val="904"/>
    <w:next w:val="678"/>
    <w:uiPriority w:val="99"/>
    <w:unhideWhenUsed/>
    <w:qFormat/>
    <w:pPr>
      <w:ind w:firstLine="420"/>
    </w:pPr>
    <w:rPr>
      <w:szCs w:val="24"/>
    </w:rPr>
  </w:style>
  <w:style w:type="paragraph" w:styleId="904" w:customStyle="1">
    <w:name w:val="正文文本111"/>
    <w:basedOn w:val="678"/>
    <w:next w:val="678"/>
    <w:uiPriority w:val="0"/>
    <w:qFormat/>
    <w:rPr>
      <w:rFonts w:eastAsia="楷体_GB2312"/>
      <w:b/>
      <w:bCs/>
      <w:color w:val="ff0000"/>
      <w:sz w:val="32"/>
      <w:szCs w:val="32"/>
      <w:lang w:val="zh-CN"/>
    </w:rPr>
  </w:style>
  <w:style w:type="paragraph" w:styleId="90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06" w:customStyle="1">
    <w:name w:val="标题 1 Char"/>
    <w:link w:val="679"/>
    <w:uiPriority w:val="0"/>
    <w:qFormat/>
    <w:rPr>
      <w:rFonts w:ascii="楷体_GB2312" w:hAnsi="楷体_GB2312" w:eastAsia="宋体"/>
      <w:b/>
      <w:sz w:val="44"/>
      <w:lang w:val="en-US" w:eastAsia="zh-CN" w:bidi="ar-SA"/>
    </w:rPr>
  </w:style>
  <w:style w:type="character" w:styleId="907" w:customStyle="1">
    <w:name w:val="正文缩进 Char"/>
    <w:link w:val="691"/>
    <w:uiPriority w:val="0"/>
    <w:qFormat/>
    <w:rPr>
      <w:rFonts w:eastAsia="宋体"/>
      <w:sz w:val="21"/>
      <w:lang w:val="en-US" w:eastAsia="zh-CN" w:bidi="ar-SA"/>
    </w:rPr>
  </w:style>
  <w:style w:type="character" w:styleId="908" w:customStyle="1">
    <w:name w:val="批注文字 Char"/>
    <w:link w:val="695"/>
    <w:uiPriority w:val="99"/>
    <w:qFormat/>
    <w:rPr>
      <w:sz w:val="21"/>
      <w:szCs w:val="24"/>
    </w:rPr>
  </w:style>
  <w:style w:type="character" w:styleId="909" w:customStyle="1">
    <w:name w:val="纯文本 Char"/>
    <w:link w:val="704"/>
    <w:uiPriority w:val="0"/>
    <w:qFormat/>
    <w:rPr>
      <w:rFonts w:ascii="宋体" w:hAnsi="Courier New"/>
      <w:sz w:val="21"/>
    </w:rPr>
  </w:style>
  <w:style w:type="character" w:styleId="910" w:customStyle="1">
    <w:name w:val="副标题 Char"/>
    <w:link w:val="715"/>
    <w:uiPriority w:val="0"/>
    <w:qFormat/>
    <w:rPr>
      <w:rFonts w:ascii="Cambria" w:hAnsi="Cambria"/>
      <w:b/>
      <w:bCs/>
      <w:sz w:val="32"/>
      <w:szCs w:val="32"/>
    </w:rPr>
  </w:style>
  <w:style w:type="character" w:styleId="911" w:customStyle="1">
    <w:name w:val="HTML 预设格式 Char"/>
    <w:link w:val="724"/>
    <w:uiPriority w:val="0"/>
    <w:qFormat/>
    <w:rPr>
      <w:rFonts w:ascii="黑体" w:hAnsi="Courier New" w:eastAsia="黑体" w:cs="Courier New"/>
    </w:rPr>
  </w:style>
  <w:style w:type="character" w:styleId="912" w:customStyle="1">
    <w:name w:val="批注主题 Char"/>
    <w:link w:val="728"/>
    <w:uiPriority w:val="0"/>
    <w:qFormat/>
    <w:rPr>
      <w:b/>
      <w:bCs/>
      <w:sz w:val="21"/>
      <w:szCs w:val="24"/>
    </w:rPr>
  </w:style>
  <w:style w:type="character" w:styleId="913" w:customStyle="1">
    <w:name w:val="标题2 Char"/>
    <w:uiPriority w:val="0"/>
    <w:qFormat/>
    <w:rPr>
      <w:rFonts w:ascii="方正楷体_GBK" w:hAnsi="Book Antiqua" w:eastAsia="方正楷体_GBK"/>
      <w:sz w:val="32"/>
      <w:lang w:val="en-US" w:eastAsia="zh-CN" w:bidi="ar-SA"/>
    </w:rPr>
  </w:style>
  <w:style w:type="character" w:styleId="914"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15" w:customStyle="1">
    <w:name w:val="jj1"/>
    <w:uiPriority w:val="0"/>
    <w:qFormat/>
    <w:rPr>
      <w:sz w:val="20"/>
      <w:szCs w:val="20"/>
      <w:u w:val="none"/>
    </w:rPr>
  </w:style>
  <w:style w:type="character" w:styleId="916" w:customStyle="1">
    <w:name w:val="列出段落 Char"/>
    <w:link w:val="917"/>
    <w:uiPriority w:val="0"/>
    <w:qFormat/>
    <w:rPr>
      <w:rFonts w:ascii="Calibri" w:hAnsi="Calibri"/>
      <w:sz w:val="24"/>
      <w:szCs w:val="24"/>
      <w:lang w:eastAsia="en-US" w:bidi="en-US"/>
    </w:rPr>
  </w:style>
  <w:style w:type="paragraph" w:styleId="917" w:customStyle="1">
    <w:name w:val="列出段落1"/>
    <w:basedOn w:val="678"/>
    <w:link w:val="916"/>
    <w:uiPriority w:val="0"/>
    <w:qFormat/>
    <w:pPr>
      <w:contextualSpacing/>
      <w:ind w:left="720"/>
      <w:jc w:val="left"/>
      <w:widowControl/>
    </w:pPr>
    <w:rPr>
      <w:rFonts w:ascii="Calibri" w:hAnsi="Calibri"/>
      <w:sz w:val="24"/>
      <w:lang w:eastAsia="en-US" w:bidi="en-US"/>
    </w:rPr>
  </w:style>
  <w:style w:type="character" w:styleId="918"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919" w:customStyle="1">
    <w:name w:val="第四级"/>
    <w:basedOn w:val="678"/>
    <w:next w:val="678"/>
    <w:uiPriority w:val="0"/>
    <w:qFormat/>
    <w:pPr>
      <w:numPr>
        <w:ilvl w:val="3"/>
        <w:numId w:val="1"/>
      </w:numPr>
      <w:spacing w:line="360" w:lineRule="auto"/>
    </w:pPr>
    <w:rPr>
      <w:rFonts w:ascii="宋体" w:hAnsi="宋体" w:eastAsia="仿宋"/>
      <w:sz w:val="28"/>
      <w:szCs w:val="21"/>
    </w:rPr>
  </w:style>
  <w:style w:type="paragraph" w:styleId="920" w:customStyle="1">
    <w:name w:val="正文空2格  1."/>
    <w:basedOn w:val="678"/>
    <w:uiPriority w:val="0"/>
    <w:qFormat/>
    <w:pPr>
      <w:ind w:firstLine="480"/>
      <w:spacing w:line="360" w:lineRule="auto"/>
    </w:pPr>
    <w:rPr>
      <w:rFonts w:ascii="宋体" w:eastAsia="仿宋" w:cs="宋体"/>
      <w:sz w:val="28"/>
      <w:szCs w:val="20"/>
    </w:rPr>
  </w:style>
  <w:style w:type="paragraph" w:styleId="921" w:customStyle="1">
    <w:name w:val="普通正文"/>
    <w:basedOn w:val="678"/>
    <w:uiPriority w:val="0"/>
    <w:qFormat/>
    <w:pPr>
      <w:ind w:firstLine="480"/>
      <w:jc w:val="left"/>
      <w:spacing w:before="120" w:after="120" w:line="360" w:lineRule="auto"/>
    </w:pPr>
    <w:rPr>
      <w:rFonts w:ascii="Arial" w:hAnsi="Arial"/>
      <w:sz w:val="24"/>
    </w:rPr>
  </w:style>
  <w:style w:type="paragraph" w:styleId="922" w:customStyle="1">
    <w:name w:val="MSG_EN_FONT_STYLE_NAME_TEMPLATE_ROLE_NUMBER MSG_EN_FONT_STYLE_NAME_BY_ROLE_TEXT 2"/>
    <w:basedOn w:val="67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23"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24" w:customStyle="1">
    <w:name w:val="正文（缩进）"/>
    <w:basedOn w:val="678"/>
    <w:uiPriority w:val="0"/>
    <w:qFormat/>
    <w:pPr>
      <w:ind w:firstLine="480"/>
      <w:spacing w:before="156" w:after="156"/>
    </w:pPr>
  </w:style>
  <w:style w:type="paragraph" w:styleId="925" w:customStyle="1">
    <w:name w:val="段"/>
    <w:next w:val="678"/>
    <w:uiPriority w:val="0"/>
    <w:qFormat/>
    <w:pPr>
      <w:ind w:firstLine="200"/>
      <w:jc w:val="both"/>
    </w:pPr>
    <w:rPr>
      <w:rFonts w:hint="default" w:ascii="宋体" w:hAnsi="Calibri" w:eastAsia="宋体" w:cs="Times New Roman"/>
      <w:sz w:val="21"/>
      <w:lang w:val="en-US" w:eastAsia="zh-CN" w:bidi="ar-SA"/>
    </w:rPr>
  </w:style>
  <w:style w:type="paragraph" w:styleId="926" w:customStyle="1">
    <w:name w:val="标题2"/>
    <w:basedOn w:val="678"/>
    <w:next w:val="678"/>
    <w:uiPriority w:val="0"/>
    <w:qFormat/>
    <w:pPr>
      <w:jc w:val="center"/>
    </w:pPr>
    <w:rPr>
      <w:rFonts w:eastAsia="方正楷体_GBK"/>
    </w:rPr>
  </w:style>
  <w:style w:type="paragraph" w:styleId="927" w:customStyle="1">
    <w:name w:val="HTML 预先格式化"/>
    <w:basedOn w:val="6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8" w:customStyle="1">
    <w:name w:val="Char Char Char Char1 Char Char"/>
    <w:basedOn w:val="678"/>
    <w:uiPriority w:val="0"/>
    <w:qFormat/>
    <w:pPr>
      <w:tabs>
        <w:tab w:val="left" w:pos="360" w:leader="none"/>
      </w:tabs>
    </w:pPr>
    <w:rPr>
      <w:sz w:val="24"/>
    </w:rPr>
  </w:style>
  <w:style w:type="paragraph" w:styleId="929" w:customStyle="1">
    <w:name w:val="默认段落字体 Para Char Char Char Char Char Char Char Char Char1 Char Char Char Char Char Char Char"/>
    <w:basedOn w:val="694"/>
    <w:uiPriority w:val="0"/>
    <w:qFormat/>
    <w:rPr>
      <w:rFonts w:ascii="Tahoma" w:hAnsi="Tahoma"/>
      <w:sz w:val="24"/>
    </w:rPr>
  </w:style>
  <w:style w:type="paragraph" w:styleId="930" w:customStyle="1">
    <w:name w:val="WPSOffice手动目录 1"/>
    <w:uiPriority w:val="0"/>
    <w:qFormat/>
    <w:rPr>
      <w:rFonts w:hint="default" w:ascii="Times New Roman" w:hAnsi="Times New Roman" w:eastAsia="宋体" w:cs="Times New Roman"/>
      <w:lang w:val="en-US" w:eastAsia="zh-CN" w:bidi="ar-SA"/>
    </w:rPr>
  </w:style>
  <w:style w:type="paragraph" w:styleId="931" w:customStyle="1">
    <w:name w:val="Char Char Char Char"/>
    <w:basedOn w:val="694"/>
    <w:uiPriority w:val="0"/>
    <w:qFormat/>
    <w:pPr>
      <w:spacing w:line="360" w:lineRule="auto"/>
    </w:pPr>
    <w:rPr>
      <w:rFonts w:ascii="Tahoma" w:hAnsi="Tahoma"/>
      <w:sz w:val="24"/>
    </w:rPr>
  </w:style>
  <w:style w:type="paragraph" w:styleId="932" w:customStyle="1">
    <w:name w:val="Char"/>
    <w:basedOn w:val="678"/>
    <w:uiPriority w:val="0"/>
    <w:qFormat/>
    <w:pPr>
      <w:tabs>
        <w:tab w:val="left" w:pos="360" w:leader="none"/>
      </w:tabs>
    </w:pPr>
    <w:rPr>
      <w:sz w:val="24"/>
    </w:rPr>
  </w:style>
  <w:style w:type="paragraph" w:styleId="933" w:customStyle="1">
    <w:name w:val="正文 1.1.1"/>
    <w:basedOn w:val="678"/>
    <w:next w:val="678"/>
    <w:uiPriority w:val="0"/>
    <w:qFormat/>
    <w:pPr>
      <w:numPr>
        <w:ilvl w:val="2"/>
        <w:numId w:val="1"/>
      </w:numPr>
      <w:spacing w:line="360" w:lineRule="auto"/>
      <w:outlineLvl w:val="2"/>
    </w:pPr>
    <w:rPr>
      <w:rFonts w:ascii="宋体" w:hAnsi="宋体"/>
      <w:color w:val="000000"/>
      <w:sz w:val="28"/>
      <w:szCs w:val="21"/>
    </w:rPr>
  </w:style>
  <w:style w:type="paragraph" w:styleId="934" w:customStyle="1">
    <w:name w:val="正文 1.1"/>
    <w:basedOn w:val="678"/>
    <w:next w:val="93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5" w:customStyle="1">
    <w:name w:val="正文 第一章"/>
    <w:basedOn w:val="678"/>
    <w:next w:val="93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36">
    <w:name w:val="List Paragraph"/>
    <w:basedOn w:val="678"/>
    <w:uiPriority w:val="34"/>
    <w:qFormat/>
    <w:pPr>
      <w:ind w:firstLine="420"/>
    </w:pPr>
    <w:rPr>
      <w:rFonts w:ascii="Calibri" w:hAnsi="Calibri"/>
      <w:szCs w:val="22"/>
    </w:rPr>
  </w:style>
  <w:style w:type="paragraph" w:styleId="93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Char1"/>
    <w:basedOn w:val="678"/>
    <w:uiPriority w:val="0"/>
    <w:qFormat/>
    <w:rPr>
      <w:rFonts w:ascii="Tahoma" w:hAnsi="Tahoma"/>
      <w:sz w:val="24"/>
      <w:szCs w:val="20"/>
    </w:rPr>
  </w:style>
  <w:style w:type="paragraph" w:styleId="940" w:customStyle="1">
    <w:name w:val="Coms Alinea"/>
    <w:uiPriority w:val="0"/>
    <w:qFormat/>
    <w:pPr>
      <w:widowControl w:val="off"/>
    </w:pPr>
    <w:rPr>
      <w:rFonts w:hint="default" w:ascii="Arial" w:hAnsi="Arial" w:eastAsia="宋体" w:cs="Arial"/>
      <w:lang w:val="en-US" w:eastAsia="zh-CN" w:bidi="ar-SA"/>
    </w:rPr>
  </w:style>
  <w:style w:type="paragraph" w:styleId="941" w:customStyle="1">
    <w:name w:val="Char Char Char Char1 Char Char Char"/>
    <w:basedOn w:val="694"/>
    <w:uiPriority w:val="0"/>
    <w:qFormat/>
    <w:pPr>
      <w:spacing w:line="360" w:lineRule="auto"/>
    </w:pPr>
    <w:rPr>
      <w:rFonts w:ascii="Tahoma" w:hAnsi="Tahoma"/>
      <w:sz w:val="24"/>
    </w:rPr>
  </w:style>
  <w:style w:type="paragraph" w:styleId="942"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43" w:customStyle="1">
    <w:name w:val="BioQuote Tekst"/>
    <w:basedOn w:val="678"/>
    <w:uiPriority w:val="0"/>
    <w:qFormat/>
    <w:pPr>
      <w:ind w:right="-1"/>
    </w:pPr>
    <w:rPr>
      <w:rFonts w:ascii="Arial" w:hAnsi="Arial"/>
      <w:sz w:val="22"/>
      <w:szCs w:val="20"/>
      <w:lang w:eastAsia="en-US"/>
    </w:rPr>
  </w:style>
  <w:style w:type="paragraph" w:styleId="944" w:customStyle="1">
    <w:name w:val="xl47"/>
    <w:basedOn w:val="67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5" w:customStyle="1">
    <w:name w:val="纯文本2"/>
    <w:basedOn w:val="678"/>
    <w:uiPriority w:val="0"/>
    <w:qFormat/>
    <w:rPr>
      <w:rFonts w:ascii="宋体" w:hAnsi="Courier New" w:eastAsia="楷体_GB2312"/>
      <w:sz w:val="26"/>
      <w:szCs w:val="20"/>
    </w:rPr>
  </w:style>
  <w:style w:type="paragraph" w:styleId="946" w:customStyle="1">
    <w:name w:val="标题1"/>
    <w:basedOn w:val="678"/>
    <w:next w:val="678"/>
    <w:uiPriority w:val="0"/>
    <w:qFormat/>
    <w:pPr>
      <w:jc w:val="center"/>
      <w:spacing w:line="700" w:lineRule="atLeast"/>
      <w:tabs>
        <w:tab w:val="left" w:pos="9193" w:leader="none"/>
        <w:tab w:val="left" w:pos="9827" w:leader="none"/>
      </w:tabs>
    </w:pPr>
    <w:rPr>
      <w:rFonts w:eastAsia="方正小标宋_GBK"/>
      <w:sz w:val="44"/>
    </w:rPr>
  </w:style>
  <w:style w:type="paragraph" w:styleId="947" w:customStyle="1">
    <w:name w:val="TOC 标题11"/>
    <w:basedOn w:val="679"/>
    <w:next w:val="678"/>
    <w:uiPriority w:val="39"/>
    <w:qFormat/>
    <w:pPr>
      <w:jc w:val="left"/>
      <w:keepLines/>
      <w:spacing w:before="480" w:line="276" w:lineRule="auto"/>
      <w:outlineLvl w:val="9"/>
    </w:pPr>
    <w:rPr>
      <w:rFonts w:ascii="Cambria" w:hAnsi="Cambria"/>
      <w:b w:val="0"/>
      <w:bCs/>
      <w:color w:val="365f91"/>
      <w:szCs w:val="28"/>
    </w:rPr>
  </w:style>
  <w:style w:type="paragraph" w:styleId="948" w:customStyle="1">
    <w:name w:val="标题3"/>
    <w:basedOn w:val="678"/>
    <w:next w:val="678"/>
    <w:uiPriority w:val="0"/>
    <w:qFormat/>
    <w:rPr>
      <w:rFonts w:eastAsia="方正黑体_GBK"/>
    </w:rPr>
  </w:style>
  <w:style w:type="paragraph" w:styleId="949" w:customStyle="1">
    <w:name w:val="纯文本1"/>
    <w:basedOn w:val="678"/>
    <w:uiPriority w:val="0"/>
    <w:qFormat/>
    <w:rPr>
      <w:rFonts w:hAnsi="Courier New" w:eastAsia="楷体_GB2312"/>
      <w:color w:val="000000"/>
      <w:sz w:val="26"/>
    </w:rPr>
  </w:style>
  <w:style w:type="paragraph" w:styleId="950" w:customStyle="1">
    <w:name w:val="p2"/>
    <w:basedOn w:val="678"/>
    <w:uiPriority w:val="0"/>
    <w:qFormat/>
    <w:pPr>
      <w:jc w:val="left"/>
      <w:spacing w:before="100" w:beforeAutospacing="1" w:after="100" w:afterAutospacing="1"/>
      <w:widowControl/>
    </w:pPr>
    <w:rPr>
      <w:rFonts w:ascii="宋体" w:hAnsi="宋体" w:cs="宋体"/>
      <w:sz w:val="24"/>
    </w:rPr>
  </w:style>
  <w:style w:type="paragraph" w:styleId="95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文档正文"/>
    <w:basedOn w:val="678"/>
    <w:uiPriority w:val="0"/>
    <w:unhideWhenUsed/>
    <w:qFormat/>
    <w:pPr>
      <w:ind w:firstLine="482"/>
      <w:spacing w:before="60" w:after="60" w:line="360" w:lineRule="auto"/>
    </w:pPr>
  </w:style>
  <w:style w:type="character" w:styleId="953" w:customStyle="1">
    <w:name w:val="font01"/>
    <w:basedOn w:val="688"/>
    <w:uiPriority w:val="0"/>
    <w:qFormat/>
    <w:rPr>
      <w:rFonts w:hint="eastAsia" w:ascii="宋体" w:hAnsi="宋体" w:eastAsia="宋体" w:cs="宋体"/>
      <w:color w:val="000000"/>
      <w:sz w:val="22"/>
      <w:szCs w:val="22"/>
      <w:u w:val="none"/>
    </w:rPr>
  </w:style>
  <w:style w:type="character" w:styleId="954" w:customStyle="1">
    <w:name w:val="font11"/>
    <w:uiPriority w:val="0"/>
    <w:qFormat/>
    <w:rPr>
      <w:rFonts w:hint="eastAsia" w:ascii="宋体" w:hAnsi="宋体" w:eastAsia="宋体" w:cs="宋体"/>
      <w:color w:val="ff0000"/>
      <w:sz w:val="22"/>
      <w:szCs w:val="22"/>
      <w:u w:val="none"/>
    </w:rPr>
  </w:style>
  <w:style w:type="character" w:styleId="955" w:customStyle="1">
    <w:name w:val="font31"/>
    <w:basedOn w:val="688"/>
    <w:uiPriority w:val="0"/>
    <w:qFormat/>
    <w:rPr>
      <w:rFonts w:hint="eastAsia" w:ascii="宋体" w:hAnsi="宋体" w:eastAsia="宋体" w:cs="宋体"/>
      <w:color w:val="000000"/>
      <w:sz w:val="22"/>
      <w:szCs w:val="22"/>
      <w:u w:val="none"/>
    </w:rPr>
  </w:style>
  <w:style w:type="paragraph" w:styleId="956" w:customStyle="1">
    <w:name w:val="Table Paragraph"/>
    <w:basedOn w:val="678"/>
    <w:uiPriority w:val="1"/>
    <w:qFormat/>
    <w:pPr>
      <w:jc w:val="left"/>
    </w:pPr>
    <w:rPr>
      <w:sz w:val="24"/>
    </w:rPr>
  </w:style>
  <w:style w:type="paragraph" w:styleId="957" w:customStyle="1">
    <w:name w:val="正文2"/>
    <w:basedOn w:val="678"/>
    <w:uiPriority w:val="0"/>
    <w:qFormat/>
    <w:pPr>
      <w:ind w:firstLine="200"/>
      <w:spacing w:before="156" w:line="360" w:lineRule="auto"/>
    </w:pPr>
    <w:rPr>
      <w:sz w:val="24"/>
      <w:szCs w:val="20"/>
    </w:rPr>
  </w:style>
  <w:style w:type="character" w:styleId="958" w:customStyle="1">
    <w:name w:val="NormalCharacter"/>
    <w:link w:val="959"/>
    <w:uiPriority w:val="0"/>
    <w:semiHidden/>
    <w:qFormat/>
    <w:rPr>
      <w:sz w:val="20"/>
      <w:szCs w:val="20"/>
    </w:rPr>
  </w:style>
  <w:style w:type="paragraph" w:styleId="959" w:customStyle="1">
    <w:name w:val="UserStyle_0"/>
    <w:basedOn w:val="678"/>
    <w:link w:val="958"/>
    <w:uiPriority w:val="0"/>
    <w:semiHidden/>
    <w:qFormat/>
    <w:pPr>
      <w:widowControl/>
    </w:pPr>
    <w:rPr>
      <w:sz w:val="20"/>
      <w:szCs w:val="20"/>
    </w:rPr>
  </w:style>
  <w:style w:type="paragraph" w:styleId="960"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961" w:customStyle="1">
    <w:name w:val="font61"/>
    <w:basedOn w:val="688"/>
    <w:uiPriority w:val="0"/>
    <w:qFormat/>
    <w:rPr>
      <w:rFonts w:ascii="方正仿宋_GBK" w:hAnsi="方正仿宋_GBK" w:eastAsia="方正仿宋_GBK" w:cs="方正仿宋_GBK"/>
      <w:b/>
      <w:bCs/>
      <w:color w:val="000000"/>
      <w:sz w:val="22"/>
      <w:szCs w:val="22"/>
      <w:u w:val="none"/>
    </w:rPr>
  </w:style>
  <w:style w:type="character" w:styleId="962" w:customStyle="1">
    <w:name w:val="font51"/>
    <w:basedOn w:val="688"/>
    <w:uiPriority w:val="0"/>
    <w:qFormat/>
    <w:rPr>
      <w:rFonts w:hint="eastAsia" w:ascii="方正仿宋_GBK" w:hAnsi="方正仿宋_GBK" w:eastAsia="方正仿宋_GBK" w:cs="方正仿宋_GBK"/>
      <w:color w:val="000000"/>
      <w:sz w:val="22"/>
      <w:szCs w:val="22"/>
      <w:u w:val="none"/>
    </w:rPr>
  </w:style>
  <w:style w:type="character" w:styleId="963" w:customStyle="1">
    <w:name w:val="font41"/>
    <w:basedOn w:val="688"/>
    <w:uiPriority w:val="0"/>
    <w:qFormat/>
    <w:rPr>
      <w:rFonts w:hint="default" w:ascii="Times New Roman" w:hAnsi="Times New Roman" w:cs="Times New Roman"/>
      <w:color w:val="000000"/>
      <w:sz w:val="22"/>
      <w:szCs w:val="22"/>
      <w:u w:val="none"/>
    </w:rPr>
  </w:style>
  <w:style w:type="character" w:styleId="964" w:customStyle="1">
    <w:name w:val="font81"/>
    <w:basedOn w:val="688"/>
    <w:uiPriority w:val="0"/>
    <w:qFormat/>
    <w:rPr>
      <w:rFonts w:hint="eastAsia" w:ascii="宋体" w:hAnsi="宋体" w:eastAsia="宋体" w:cs="宋体"/>
      <w:b/>
      <w:bCs/>
      <w:color w:val="000000"/>
      <w:sz w:val="22"/>
      <w:szCs w:val="22"/>
      <w:u w:val="none"/>
    </w:rPr>
  </w:style>
  <w:style w:type="paragraph" w:styleId="965" w:customStyle="1">
    <w:name w:val="正文1"/>
    <w:basedOn w:val="966"/>
    <w:next w:val="967"/>
    <w:uiPriority w:val="99"/>
    <w:qFormat/>
    <w:pPr>
      <w:jc w:val="both"/>
    </w:pPr>
    <w:rPr>
      <w:rFonts w:ascii="Times New Roman" w:hAnsi="Times New Roman" w:eastAsia="宋体" w:cs="Times New Roman"/>
      <w:sz w:val="21"/>
      <w:szCs w:val="21"/>
      <w:lang w:val="en-US" w:eastAsia="zh-CN" w:bidi="ar-SA"/>
    </w:rPr>
  </w:style>
  <w:style w:type="paragraph" w:styleId="966" w:customStyle="1">
    <w:name w:val="正文11"/>
    <w:next w:val="967"/>
    <w:uiPriority w:val="0"/>
    <w:qFormat/>
    <w:pPr>
      <w:jc w:val="both"/>
      <w:widowControl w:val="off"/>
    </w:pPr>
    <w:rPr>
      <w:rFonts w:hint="default" w:ascii="Calibri" w:hAnsi="Calibri" w:eastAsia="宋体" w:cs="Times New Roman"/>
      <w:sz w:val="21"/>
      <w:szCs w:val="24"/>
      <w:lang w:val="en-US" w:eastAsia="zh-CN" w:bidi="ar-SA"/>
    </w:rPr>
  </w:style>
  <w:style w:type="paragraph" w:styleId="967" w:customStyle="1">
    <w:name w:val="正文文本1"/>
    <w:basedOn w:val="965"/>
    <w:next w:val="966"/>
    <w:uiPriority w:val="0"/>
    <w:qFormat/>
    <w:pPr>
      <w:ind w:left="1540"/>
    </w:pPr>
    <w:rPr>
      <w:sz w:val="24"/>
      <w:szCs w:val="24"/>
    </w:rPr>
  </w:style>
  <w:style w:type="paragraph" w:styleId="968" w:customStyle="1">
    <w:name w:val="首行缩进"/>
    <w:basedOn w:val="678"/>
    <w:uiPriority w:val="0"/>
    <w:qFormat/>
    <w:pPr>
      <w:ind w:firstLine="480"/>
    </w:pPr>
    <w:rPr>
      <w:lang w:val="zh-CN"/>
    </w:rPr>
  </w:style>
  <w:style w:type="paragraph" w:styleId="969" w:customStyle="1">
    <w:name w:val="列出段落2"/>
    <w:basedOn w:val="678"/>
    <w:uiPriority w:val="34"/>
    <w:qFormat/>
    <w:pPr>
      <w:ind w:firstLine="420"/>
    </w:pPr>
    <w:rPr>
      <w:rFonts w:eastAsia="仿宋"/>
      <w:sz w:val="30"/>
    </w:rPr>
  </w:style>
  <w:style w:type="paragraph" w:styleId="970" w:customStyle="1">
    <w:name w:val="正文 正文"/>
    <w:basedOn w:val="678"/>
    <w:uiPriority w:val="0"/>
    <w:qFormat/>
    <w:pPr>
      <w:ind w:firstLine="200"/>
      <w:spacing w:before="50" w:after="50" w:line="360" w:lineRule="auto"/>
    </w:pPr>
  </w:style>
  <w:style w:type="paragraph" w:styleId="971"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72" w:customStyle="1">
    <w:name w:val="修订2"/>
    <w:hidden/>
    <w:uiPriority w:val="99"/>
    <w:unhideWhenUsed/>
    <w:qFormat/>
    <w:rPr>
      <w:rFonts w:hint="default" w:ascii="Times New Roman" w:hAnsi="Times New Roman" w:eastAsia="宋体" w:cs="Times New Roman"/>
      <w:sz w:val="21"/>
      <w:szCs w:val="24"/>
      <w:lang w:val="en-US" w:eastAsia="zh-CN" w:bidi="ar-SA"/>
    </w:rPr>
  </w:style>
  <w:style w:type="table" w:styleId="973" w:customStyle="1">
    <w:name w:val="Table Normal"/>
    <w:uiPriority w:val="0"/>
    <w:semiHidden/>
    <w:unhideWhenUsed/>
    <w:qFormat/>
    <w:tblPr>
      <w:tblCellMar>
        <w:left w:w="0" w:type="dxa"/>
        <w:top w:w="0" w:type="dxa"/>
        <w:right w:w="0" w:type="dxa"/>
        <w:bottom w:w="0" w:type="dxa"/>
      </w:tblCellMar>
    </w:tblPr>
  </w:style>
  <w:style w:type="numbering" w:styleId="9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E68E78C-5E98-47FB-8041-62D88885F5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车玉彩</cp:lastModifiedBy>
  <cp:revision>81</cp:revision>
  <dcterms:created xsi:type="dcterms:W3CDTF">2023-10-09T13:20:00Z</dcterms:created>
  <dcterms:modified xsi:type="dcterms:W3CDTF">2025-12-18T01:42:58Z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2AFE123334DA426EA01065F40C8E7EDD_13</vt:lpwstr>
  </property>
  <property fmtid="{D5CDD505-2E9C-101B-9397-08002B2CF9AE}" pid="4" name="KSOTemplateDocerSaveRecord">
    <vt:lpwstr>eyJoZGlkIjoiOWEwMTNkOGZhYzhmNTBkZTQ3Nzc2ZmExMGVmZWU3ZjkiLCJ1c2VySWQiOiI3NTQ2Nzg5MTIifQ==</vt:lpwstr>
  </property>
</Properties>
</file>